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1400"/>
        <w:jc w:val="center"/>
      </w:pPr>
      <w:r>
        <w:rPr>
          <w:rFonts w:ascii="Calibri" w:cs="Calibri" w:eastAsia="Calibri" w:hAnsi="Calibri"/>
          <w:b/>
          <w:bCs/>
          <w:color w:val="7A2E2E"/>
          <w:spacing w:val="40"/>
          <w:sz w:val="56"/>
          <w:szCs w:val="56"/>
        </w:rPr>
        <w:t xml:space="preserve">ANNUAL REPORT</w:t>
      </w:r>
    </w:p>
    <w:p>
      <w:pPr>
        <w:spacing w:after="500"/>
        <w:jc w:val="center"/>
      </w:pPr>
      <w:r>
        <w:rPr>
          <w:rFonts w:ascii="Calibri" w:cs="Calibri" w:eastAsia="Calibri" w:hAnsi="Calibri"/>
          <w:b/>
          <w:bCs/>
          <w:color w:val="1E6B3A"/>
          <w:sz w:val="44"/>
          <w:szCs w:val="44"/>
        </w:rPr>
        <w:t xml:space="preserve">2025 – 2026</w:t>
      </w:r>
    </w:p>
    <w:p>
      <w:pPr>
        <w:spacing w:after="300"/>
        <w:jc w:val="center"/>
      </w:pPr>
      <w:r>
        <w:drawing>
          <wp:inline distT="0" distB="0" distL="0" distR="0">
            <wp:extent cx="2190750" cy="2095500"/>
            <wp:effectExtent t="0" r="0" b="0" l="0"/>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190750" cy="2095500"/>
                    </a:xfrm>
                    <a:prstGeom prst="rect">
                      <a:avLst/>
                    </a:prstGeom>
                  </pic:spPr>
                </pic:pic>
              </a:graphicData>
            </a:graphic>
          </wp:inline>
        </w:drawing>
      </w:r>
    </w:p>
    <w:p>
      <w:pPr>
        <w:spacing w:after="80"/>
        <w:jc w:val="center"/>
      </w:pPr>
      <w:r>
        <w:rPr>
          <w:rFonts w:ascii="Calibri" w:cs="Calibri" w:eastAsia="Calibri" w:hAnsi="Calibri"/>
          <w:b/>
          <w:bCs/>
          <w:color w:val="1E6B3A"/>
          <w:sz w:val="48"/>
          <w:szCs w:val="48"/>
        </w:rPr>
        <w:t xml:space="preserve">VANASAMAKHYA</w:t>
      </w:r>
    </w:p>
    <w:p>
      <w:pPr>
        <w:spacing w:after="700"/>
        <w:jc w:val="center"/>
      </w:pPr>
      <w:r>
        <w:rPr>
          <w:rFonts w:ascii="Calibri" w:cs="Calibri" w:eastAsia="Calibri" w:hAnsi="Calibri"/>
          <w:i/>
          <w:iCs/>
          <w:color w:val="595959"/>
          <w:sz w:val="22"/>
          <w:szCs w:val="22"/>
        </w:rPr>
        <w:t xml:space="preserve">Empowering forest-dependent tribal communities through participatory governance and sustainable livelihoods</w:t>
      </w:r>
    </w:p>
    <w:p>
      <w:pPr>
        <w:spacing w:after="60"/>
        <w:jc w:val="center"/>
      </w:pPr>
      <w:r>
        <w:rPr>
          <w:rFonts w:ascii="Calibri" w:cs="Calibri" w:eastAsia="Calibri" w:hAnsi="Calibri"/>
          <w:color w:val="595959"/>
          <w:sz w:val="22"/>
          <w:szCs w:val="22"/>
        </w:rPr>
        <w:t xml:space="preserve">Financial Year</w:t>
      </w:r>
    </w:p>
    <w:p>
      <w:pPr>
        <w:spacing w:after="1100"/>
        <w:jc w:val="center"/>
      </w:pPr>
      <w:r>
        <w:rPr>
          <w:rFonts w:ascii="Calibri" w:cs="Calibri" w:eastAsia="Calibri" w:hAnsi="Calibri"/>
          <w:b/>
          <w:bCs/>
          <w:color w:val="14502A"/>
          <w:sz w:val="26"/>
          <w:szCs w:val="26"/>
        </w:rPr>
        <w:t xml:space="preserve">1 April 2025 – 31 March 2026</w:t>
      </w:r>
    </w:p>
    <w:p>
      <w:pPr>
        <w:pBdr>
          <w:top w:val="single" w:color="1E6B3A" w:sz="6" w:space="8"/>
        </w:pBdr>
        <w:spacing w:after="20"/>
        <w:jc w:val="center"/>
      </w:pPr>
      <w:r>
        <w:rPr>
          <w:rFonts w:ascii="Calibri" w:cs="Calibri" w:eastAsia="Calibri" w:hAnsi="Calibri"/>
          <w:color w:val="595959"/>
          <w:sz w:val="19"/>
          <w:szCs w:val="19"/>
        </w:rPr>
        <w:t xml:space="preserve">H.No. 4-12/29, Street No. 01, Srisai Durganagar, Boduppal, Hyderabad – 500 092, Telangana</w:t>
      </w:r>
    </w:p>
    <w:p>
      <w:pPr>
        <w:jc w:val="center"/>
      </w:pPr>
      <w:r>
        <w:rPr>
          <w:rFonts w:ascii="Calibri" w:cs="Calibri" w:eastAsia="Calibri" w:hAnsi="Calibri"/>
          <w:color w:val="595959"/>
          <w:sz w:val="19"/>
          <w:szCs w:val="19"/>
        </w:rPr>
        <w:t xml:space="preserve">Field Office: Pasra, Govindaraopet Mandal, Mulugu District</w:t>
      </w:r>
    </w:p>
    <w:p>
      <w:pPr>
        <w:sectPr>
          <w:pgSz w:w="11906" w:h="16838" w:orient="portrait"/>
          <w:pgMar w:top="1134" w:right="1134" w:bottom="1134" w:left="1134" w:header="600" w:footer="500" w:gutter="0"/>
          <w:pgBorders w:offsetFrom="text">
            <w:top w:val="single" w:color="1E6B3A" w:sz="12" w:space="24"/>
            <w:left w:val="single" w:color="1E6B3A" w:sz="12" w:space="24"/>
            <w:bottom w:val="single" w:color="1E6B3A" w:sz="12" w:space="24"/>
            <w:right w:val="single" w:color="1E6B3A" w:sz="12" w:space="24"/>
          </w:pgBorders>
          <w:pgNumType/>
          <w:docGrid w:linePitch="360"/>
        </w:sectPr>
      </w:pPr>
    </w:p>
    <w:p>
      <w:pPr>
        <w:spacing w:after="240"/>
      </w:pPr>
      <w:r>
        <w:rPr>
          <w:rFonts w:ascii="Calibri" w:cs="Calibri" w:eastAsia="Calibri" w:hAnsi="Calibri"/>
          <w:b/>
          <w:bCs/>
          <w:color w:val="1E6B3A"/>
          <w:sz w:val="36"/>
          <w:szCs w:val="36"/>
        </w:rPr>
        <w:t xml:space="preserve">Table of Contents</w:t>
      </w:r>
    </w:p>
    <w:p>
      <w:pPr>
        <w:tabs>
          <w:tab w:val="right" w:pos="9638" w:leader="dot"/>
        </w:tabs>
        <w:spacing w:after="80" w:before="60"/>
        <w:ind w:left="0"/>
      </w:pPr>
      <w:r>
        <w:rPr>
          <w:rFonts w:ascii="Calibri" w:cs="Calibri" w:eastAsia="Calibri" w:hAnsi="Calibri"/>
          <w:b/>
          <w:bCs/>
          <w:sz w:val="22"/>
          <w:szCs w:val="22"/>
        </w:rPr>
        <w:t xml:space="preserve">1. Executive Summary	3</w:t>
      </w:r>
    </w:p>
    <w:p>
      <w:pPr>
        <w:tabs>
          <w:tab w:val="right" w:pos="9638" w:leader="dot"/>
        </w:tabs>
        <w:spacing w:after="80" w:before="60"/>
        <w:ind w:left="0"/>
      </w:pPr>
      <w:r>
        <w:rPr>
          <w:rFonts w:ascii="Calibri" w:cs="Calibri" w:eastAsia="Calibri" w:hAnsi="Calibri"/>
          <w:b/>
          <w:bCs/>
          <w:sz w:val="22"/>
          <w:szCs w:val="22"/>
        </w:rPr>
        <w:t xml:space="preserve">2. About Vanasamakhya	4</w:t>
      </w:r>
    </w:p>
    <w:p>
      <w:pPr>
        <w:tabs>
          <w:tab w:val="right" w:pos="9638" w:leader="dot"/>
        </w:tabs>
        <w:spacing w:after="80" w:before="60"/>
        <w:ind w:left="0"/>
      </w:pPr>
      <w:r>
        <w:rPr>
          <w:rFonts w:ascii="Calibri" w:cs="Calibri" w:eastAsia="Calibri" w:hAnsi="Calibri"/>
          <w:b/>
          <w:bCs/>
          <w:sz w:val="22"/>
          <w:szCs w:val="22"/>
        </w:rPr>
        <w:t xml:space="preserve">3. Goal	4</w:t>
      </w:r>
    </w:p>
    <w:p>
      <w:pPr>
        <w:tabs>
          <w:tab w:val="right" w:pos="9638" w:leader="dot"/>
        </w:tabs>
        <w:spacing w:after="80" w:before="60"/>
        <w:ind w:left="0"/>
      </w:pPr>
      <w:r>
        <w:rPr>
          <w:rFonts w:ascii="Calibri" w:cs="Calibri" w:eastAsia="Calibri" w:hAnsi="Calibri"/>
          <w:b/>
          <w:bCs/>
          <w:sz w:val="22"/>
          <w:szCs w:val="22"/>
        </w:rPr>
        <w:t xml:space="preserve">4. Objectives	4</w:t>
      </w:r>
    </w:p>
    <w:p>
      <w:pPr>
        <w:tabs>
          <w:tab w:val="right" w:pos="9638" w:leader="dot"/>
        </w:tabs>
        <w:spacing w:after="80" w:before="60"/>
        <w:ind w:left="0"/>
      </w:pPr>
      <w:r>
        <w:rPr>
          <w:rFonts w:ascii="Calibri" w:cs="Calibri" w:eastAsia="Calibri" w:hAnsi="Calibri"/>
          <w:b/>
          <w:bCs/>
          <w:sz w:val="22"/>
          <w:szCs w:val="22"/>
        </w:rPr>
        <w:t xml:space="preserve">5. Operational Area	5</w:t>
      </w:r>
    </w:p>
    <w:p>
      <w:pPr>
        <w:tabs>
          <w:tab w:val="right" w:pos="9638" w:leader="dot"/>
        </w:tabs>
        <w:spacing w:after="80" w:before="60"/>
        <w:ind w:left="0"/>
      </w:pPr>
      <w:r>
        <w:rPr>
          <w:rFonts w:ascii="Calibri" w:cs="Calibri" w:eastAsia="Calibri" w:hAnsi="Calibri"/>
          <w:b/>
          <w:bCs/>
          <w:sz w:val="22"/>
          <w:szCs w:val="22"/>
        </w:rPr>
        <w:t xml:space="preserve">6. Key Achievements (2025–26)	5</w:t>
      </w:r>
    </w:p>
    <w:p>
      <w:pPr>
        <w:tabs>
          <w:tab w:val="right" w:pos="9638" w:leader="dot"/>
        </w:tabs>
        <w:spacing w:after="40" w:before="0"/>
        <w:ind w:left="400"/>
      </w:pPr>
      <w:r>
        <w:rPr>
          <w:rFonts w:ascii="Calibri" w:cs="Calibri" w:eastAsia="Calibri" w:hAnsi="Calibri"/>
          <w:b w:val="false"/>
          <w:bCs w:val="false"/>
          <w:sz w:val="20"/>
          <w:szCs w:val="20"/>
        </w:rPr>
        <w:t xml:space="preserve">6.1 Tribal Development Fund (TDF) – Venkatapuram Project	5</w:t>
      </w:r>
    </w:p>
    <w:p>
      <w:pPr>
        <w:tabs>
          <w:tab w:val="right" w:pos="9638" w:leader="dot"/>
        </w:tabs>
        <w:spacing w:after="40" w:before="0"/>
        <w:ind w:left="400"/>
      </w:pPr>
      <w:r>
        <w:rPr>
          <w:rFonts w:ascii="Calibri" w:cs="Calibri" w:eastAsia="Calibri" w:hAnsi="Calibri"/>
          <w:b w:val="false"/>
          <w:bCs w:val="false"/>
          <w:sz w:val="20"/>
          <w:szCs w:val="20"/>
        </w:rPr>
        <w:t xml:space="preserve">6.2 TDF – Tadvai and Govindaraopet Mandals (Maa Thota)	8</w:t>
      </w:r>
    </w:p>
    <w:p>
      <w:pPr>
        <w:tabs>
          <w:tab w:val="right" w:pos="9638" w:leader="dot"/>
        </w:tabs>
        <w:spacing w:after="40" w:before="0"/>
        <w:ind w:left="400"/>
      </w:pPr>
      <w:r>
        <w:rPr>
          <w:rFonts w:ascii="Calibri" w:cs="Calibri" w:eastAsia="Calibri" w:hAnsi="Calibri"/>
          <w:b w:val="false"/>
          <w:bCs w:val="false"/>
          <w:sz w:val="20"/>
          <w:szCs w:val="20"/>
        </w:rPr>
        <w:t xml:space="preserve">6.3 Medaram Farmer Producer Organisation	9</w:t>
      </w:r>
    </w:p>
    <w:p>
      <w:pPr>
        <w:tabs>
          <w:tab w:val="right" w:pos="9638" w:leader="dot"/>
        </w:tabs>
        <w:spacing w:after="40" w:before="0"/>
        <w:ind w:left="400"/>
      </w:pPr>
      <w:r>
        <w:rPr>
          <w:rFonts w:ascii="Calibri" w:cs="Calibri" w:eastAsia="Calibri" w:hAnsi="Calibri"/>
          <w:b w:val="false"/>
          <w:bCs w:val="false"/>
          <w:sz w:val="20"/>
          <w:szCs w:val="20"/>
        </w:rPr>
        <w:t xml:space="preserve">6.4 Sammakka Sarakka Farmers Producer Company Ltd. (SSFPCL)	10</w:t>
      </w:r>
    </w:p>
    <w:p>
      <w:pPr>
        <w:tabs>
          <w:tab w:val="right" w:pos="9638" w:leader="dot"/>
        </w:tabs>
        <w:spacing w:after="40" w:before="0"/>
        <w:ind w:left="400"/>
      </w:pPr>
      <w:r>
        <w:rPr>
          <w:rFonts w:ascii="Calibri" w:cs="Calibri" w:eastAsia="Calibri" w:hAnsi="Calibri"/>
          <w:b w:val="false"/>
          <w:bCs w:val="false"/>
          <w:sz w:val="20"/>
          <w:szCs w:val="20"/>
        </w:rPr>
        <w:t xml:space="preserve">6.5 Natural Farming Project – Azim Premji Foundation (APF)	11</w:t>
      </w:r>
    </w:p>
    <w:p>
      <w:pPr>
        <w:tabs>
          <w:tab w:val="right" w:pos="9638" w:leader="dot"/>
        </w:tabs>
        <w:spacing w:after="40" w:before="0"/>
        <w:ind w:left="400"/>
      </w:pPr>
      <w:r>
        <w:rPr>
          <w:rFonts w:ascii="Calibri" w:cs="Calibri" w:eastAsia="Calibri" w:hAnsi="Calibri"/>
          <w:b w:val="false"/>
          <w:bCs w:val="false"/>
          <w:sz w:val="20"/>
          <w:szCs w:val="20"/>
        </w:rPr>
        <w:t xml:space="preserve">6.6 Skill Development and Livelihood Enhancement Programme (CRPF)	12</w:t>
      </w:r>
    </w:p>
    <w:p>
      <w:pPr>
        <w:tabs>
          <w:tab w:val="right" w:pos="9638" w:leader="dot"/>
        </w:tabs>
        <w:spacing w:after="40" w:before="0"/>
        <w:ind w:left="400"/>
      </w:pPr>
      <w:r>
        <w:rPr>
          <w:rFonts w:ascii="Calibri" w:cs="Calibri" w:eastAsia="Calibri" w:hAnsi="Calibri"/>
          <w:b w:val="false"/>
          <w:bCs w:val="false"/>
          <w:sz w:val="20"/>
          <w:szCs w:val="20"/>
        </w:rPr>
        <w:t xml:space="preserve">6.7 Results Framework: Targets vs Achievements	13</w:t>
      </w:r>
    </w:p>
    <w:p>
      <w:pPr>
        <w:tabs>
          <w:tab w:val="right" w:pos="9638" w:leader="dot"/>
        </w:tabs>
        <w:spacing w:after="40" w:before="0"/>
        <w:ind w:left="400"/>
      </w:pPr>
      <w:r>
        <w:rPr>
          <w:rFonts w:ascii="Calibri" w:cs="Calibri" w:eastAsia="Calibri" w:hAnsi="Calibri"/>
          <w:b w:val="false"/>
          <w:bCs w:val="false"/>
          <w:sz w:val="20"/>
          <w:szCs w:val="20"/>
        </w:rPr>
        <w:t xml:space="preserve">6.8 Inclusion: Women and Tribal Communities	14</w:t>
      </w:r>
    </w:p>
    <w:p>
      <w:pPr>
        <w:tabs>
          <w:tab w:val="right" w:pos="9638" w:leader="dot"/>
        </w:tabs>
        <w:spacing w:after="80" w:before="60"/>
        <w:ind w:left="0"/>
      </w:pPr>
      <w:r>
        <w:rPr>
          <w:rFonts w:ascii="Calibri" w:cs="Calibri" w:eastAsia="Calibri" w:hAnsi="Calibri"/>
          <w:b/>
          <w:bCs/>
          <w:sz w:val="22"/>
          <w:szCs w:val="22"/>
        </w:rPr>
        <w:t xml:space="preserve">7. Highlights after the Reporting Period (April–October 2026)	14</w:t>
      </w:r>
    </w:p>
    <w:p>
      <w:pPr>
        <w:tabs>
          <w:tab w:val="right" w:pos="9638" w:leader="dot"/>
        </w:tabs>
        <w:spacing w:after="40" w:before="0"/>
        <w:ind w:left="400"/>
      </w:pPr>
      <w:r>
        <w:rPr>
          <w:rFonts w:ascii="Calibri" w:cs="Calibri" w:eastAsia="Calibri" w:hAnsi="Calibri"/>
          <w:b w:val="false"/>
          <w:bCs w:val="false"/>
          <w:sz w:val="20"/>
          <w:szCs w:val="20"/>
        </w:rPr>
        <w:t xml:space="preserve">7.1 NABARD Mango Festival 2026, Hyderabad	14</w:t>
      </w:r>
    </w:p>
    <w:p>
      <w:pPr>
        <w:tabs>
          <w:tab w:val="right" w:pos="9638" w:leader="dot"/>
        </w:tabs>
        <w:spacing w:after="40" w:before="0"/>
        <w:ind w:left="400"/>
      </w:pPr>
      <w:r>
        <w:rPr>
          <w:rFonts w:ascii="Calibri" w:cs="Calibri" w:eastAsia="Calibri" w:hAnsi="Calibri"/>
          <w:b w:val="false"/>
          <w:bCs w:val="false"/>
          <w:sz w:val="20"/>
          <w:szCs w:val="20"/>
        </w:rPr>
        <w:t xml:space="preserve">7.2 Other Developments	15</w:t>
      </w:r>
    </w:p>
    <w:p>
      <w:pPr>
        <w:tabs>
          <w:tab w:val="right" w:pos="9638" w:leader="dot"/>
        </w:tabs>
        <w:spacing w:after="80" w:before="60"/>
        <w:ind w:left="0"/>
      </w:pPr>
      <w:r>
        <w:rPr>
          <w:rFonts w:ascii="Calibri" w:cs="Calibri" w:eastAsia="Calibri" w:hAnsi="Calibri"/>
          <w:b/>
          <w:bCs/>
          <w:sz w:val="22"/>
          <w:szCs w:val="22"/>
        </w:rPr>
        <w:t xml:space="preserve">8. Partnerships and Collaborations	15</w:t>
      </w:r>
    </w:p>
    <w:p>
      <w:pPr>
        <w:tabs>
          <w:tab w:val="right" w:pos="9638" w:leader="dot"/>
        </w:tabs>
        <w:spacing w:after="80" w:before="60"/>
        <w:ind w:left="0"/>
      </w:pPr>
      <w:r>
        <w:rPr>
          <w:rFonts w:ascii="Calibri" w:cs="Calibri" w:eastAsia="Calibri" w:hAnsi="Calibri"/>
          <w:b/>
          <w:bCs/>
          <w:sz w:val="22"/>
          <w:szCs w:val="22"/>
        </w:rPr>
        <w:t xml:space="preserve">9. Challenges, Responses and Learnings	15</w:t>
      </w:r>
    </w:p>
    <w:p>
      <w:pPr>
        <w:tabs>
          <w:tab w:val="right" w:pos="9638" w:leader="dot"/>
        </w:tabs>
        <w:spacing w:after="80" w:before="60"/>
        <w:ind w:left="0"/>
      </w:pPr>
      <w:r>
        <w:rPr>
          <w:rFonts w:ascii="Calibri" w:cs="Calibri" w:eastAsia="Calibri" w:hAnsi="Calibri"/>
          <w:b/>
          <w:bCs/>
          <w:sz w:val="22"/>
          <w:szCs w:val="22"/>
        </w:rPr>
        <w:t xml:space="preserve">10. Way Forward (2026–27)	16</w:t>
      </w:r>
    </w:p>
    <w:p>
      <w:pPr>
        <w:tabs>
          <w:tab w:val="right" w:pos="9638" w:leader="dot"/>
        </w:tabs>
        <w:spacing w:after="80" w:before="60"/>
        <w:ind w:left="0"/>
      </w:pPr>
      <w:r>
        <w:rPr>
          <w:rFonts w:ascii="Calibri" w:cs="Calibri" w:eastAsia="Calibri" w:hAnsi="Calibri"/>
          <w:b/>
          <w:bCs/>
          <w:sz w:val="22"/>
          <w:szCs w:val="22"/>
        </w:rPr>
        <w:t xml:space="preserve">11. Acknowledgements	16</w:t>
      </w:r>
    </w:p>
    <w:p>
      <w:pPr>
        <w:tabs>
          <w:tab w:val="right" w:pos="9638" w:leader="dot"/>
        </w:tabs>
        <w:spacing w:after="80" w:before="60"/>
        <w:ind w:left="0"/>
      </w:pPr>
      <w:r>
        <w:rPr>
          <w:rFonts w:ascii="Calibri" w:cs="Calibri" w:eastAsia="Calibri" w:hAnsi="Calibri"/>
          <w:b/>
          <w:bCs/>
          <w:sz w:val="22"/>
          <w:szCs w:val="22"/>
        </w:rPr>
        <w:t xml:space="preserve">12. Governance, Compliance and Transparency	16</w:t>
      </w:r>
    </w:p>
    <w:p>
      <w:pPr>
        <w:tabs>
          <w:tab w:val="right" w:pos="9638" w:leader="dot"/>
        </w:tabs>
        <w:spacing w:after="80" w:before="60"/>
        <w:ind w:left="0"/>
      </w:pPr>
      <w:r>
        <w:rPr>
          <w:rFonts w:ascii="Calibri" w:cs="Calibri" w:eastAsia="Calibri" w:hAnsi="Calibri"/>
          <w:b/>
          <w:bCs/>
          <w:sz w:val="22"/>
          <w:szCs w:val="22"/>
        </w:rPr>
        <w:t xml:space="preserve">13. Financial Statements 2025–26	17</w:t>
      </w:r>
    </w:p>
    <w:p>
      <w:pPr>
        <w:tabs>
          <w:tab w:val="right" w:pos="9638" w:leader="dot"/>
        </w:tabs>
        <w:spacing w:after="40" w:before="0"/>
        <w:ind w:left="400"/>
      </w:pPr>
      <w:r>
        <w:rPr>
          <w:rFonts w:ascii="Calibri" w:cs="Calibri" w:eastAsia="Calibri" w:hAnsi="Calibri"/>
          <w:b w:val="false"/>
          <w:bCs w:val="false"/>
          <w:sz w:val="20"/>
          <w:szCs w:val="20"/>
        </w:rPr>
        <w:t xml:space="preserve">13.1 Grant Utilisation by Programme	17</w:t>
      </w:r>
    </w:p>
    <w:p>
      <w:pPr>
        <w:tabs>
          <w:tab w:val="right" w:pos="9638" w:leader="dot"/>
        </w:tabs>
        <w:spacing w:after="40" w:before="0"/>
        <w:ind w:left="400"/>
      </w:pPr>
      <w:r>
        <w:rPr>
          <w:rFonts w:ascii="Calibri" w:cs="Calibri" w:eastAsia="Calibri" w:hAnsi="Calibri"/>
          <w:b w:val="false"/>
          <w:bCs w:val="false"/>
          <w:sz w:val="20"/>
          <w:szCs w:val="20"/>
        </w:rPr>
        <w:t xml:space="preserve">13.2 Income and Expenditure Account for the year ended 31.03.2026	18</w:t>
      </w:r>
    </w:p>
    <w:p>
      <w:pPr>
        <w:tabs>
          <w:tab w:val="right" w:pos="9638" w:leader="dot"/>
        </w:tabs>
        <w:spacing w:after="40" w:before="0"/>
        <w:ind w:left="400"/>
      </w:pPr>
      <w:r>
        <w:rPr>
          <w:rFonts w:ascii="Calibri" w:cs="Calibri" w:eastAsia="Calibri" w:hAnsi="Calibri"/>
          <w:b w:val="false"/>
          <w:bCs w:val="false"/>
          <w:sz w:val="20"/>
          <w:szCs w:val="20"/>
        </w:rPr>
        <w:t xml:space="preserve">13.3 Receipts and Payments Account for the period 01.04.2025 to 31.03.2026	18</w:t>
      </w:r>
    </w:p>
    <w:p>
      <w:pPr>
        <w:tabs>
          <w:tab w:val="right" w:pos="9638" w:leader="dot"/>
        </w:tabs>
        <w:spacing w:after="40" w:before="0"/>
        <w:ind w:left="400"/>
      </w:pPr>
      <w:r>
        <w:rPr>
          <w:rFonts w:ascii="Calibri" w:cs="Calibri" w:eastAsia="Calibri" w:hAnsi="Calibri"/>
          <w:b w:val="false"/>
          <w:bCs w:val="false"/>
          <w:sz w:val="20"/>
          <w:szCs w:val="20"/>
        </w:rPr>
        <w:t xml:space="preserve">13.4 Balance Sheet as on 31.03.2026	18</w:t>
      </w:r>
    </w:p>
    <w:p>
      <w:pPr>
        <w:tabs>
          <w:tab w:val="right" w:pos="9638" w:leader="dot"/>
        </w:tabs>
        <w:spacing w:after="40" w:before="0"/>
        <w:ind w:left="400"/>
      </w:pPr>
      <w:r>
        <w:rPr>
          <w:rFonts w:ascii="Calibri" w:cs="Calibri" w:eastAsia="Calibri" w:hAnsi="Calibri"/>
          <w:b w:val="false"/>
          <w:bCs w:val="false"/>
          <w:sz w:val="20"/>
          <w:szCs w:val="20"/>
        </w:rPr>
        <w:t xml:space="preserve">13.5 APF Project – Income and Expenditure Account (2025–26)	19</w:t>
      </w:r>
    </w:p>
    <w:p>
      <w:pPr>
        <w:tabs>
          <w:tab w:val="right" w:pos="9638" w:leader="dot"/>
        </w:tabs>
        <w:spacing w:after="40" w:before="0"/>
        <w:ind w:left="400"/>
      </w:pPr>
      <w:r>
        <w:rPr>
          <w:rFonts w:ascii="Calibri" w:cs="Calibri" w:eastAsia="Calibri" w:hAnsi="Calibri"/>
          <w:b w:val="false"/>
          <w:bCs w:val="false"/>
          <w:sz w:val="20"/>
          <w:szCs w:val="20"/>
        </w:rPr>
        <w:t xml:space="preserve">13.6 Application of Income (Assessment Year 2026–27)	19</w:t>
      </w:r>
    </w:p>
    <w:p>
      <w:pPr>
        <w:tabs>
          <w:tab w:val="right" w:pos="9638" w:leader="dot"/>
        </w:tabs>
        <w:spacing w:after="80" w:before="60"/>
        <w:ind w:left="0"/>
      </w:pPr>
      <w:r>
        <w:rPr>
          <w:rFonts w:ascii="Calibri" w:cs="Calibri" w:eastAsia="Calibri" w:hAnsi="Calibri"/>
          <w:b/>
          <w:bCs/>
          <w:sz w:val="22"/>
          <w:szCs w:val="22"/>
        </w:rPr>
        <w:t xml:space="preserve">Annexure 1: Audited Financial Statements 2025–26	20</w:t>
      </w:r>
    </w:p>
    <w:p>
      <w:pPr>
        <w:sectPr>
          <w:headerReference w:type="default" r:id="rId6"/>
          <w:footerReference w:type="default" r:id="rId7"/>
          <w:pgSz w:w="11906" w:h="16838" w:orient="portrait"/>
          <w:pgMar w:top="1134" w:right="1134" w:bottom="1134" w:left="1134" w:header="600" w:footer="500" w:gutter="0"/>
          <w:pgBorders w:offsetFrom="text">
            <w:top w:val="single" w:color="1E6B3A" w:sz="12" w:space="24"/>
            <w:left w:val="single" w:color="1E6B3A" w:sz="12" w:space="24"/>
            <w:bottom w:val="single" w:color="1E6B3A" w:sz="12" w:space="24"/>
            <w:right w:val="single" w:color="1E6B3A" w:sz="12" w:space="24"/>
          </w:pgBorders>
          <w:pgNumType/>
          <w:docGrid w:linePitch="360"/>
        </w:sectPr>
      </w:pPr>
    </w:p>
    <w:p>
      <w:pPr>
        <w:pStyle w:val="Heading1"/>
        <w:keepNext/>
      </w:pPr>
      <w:r>
        <w:rPr>
          <w:rFonts w:ascii="Calibri" w:cs="Calibri" w:eastAsia="Calibri" w:hAnsi="Calibri"/>
        </w:rPr>
        <w:t xml:space="preserve">1. Executive Summary</w:t>
      </w:r>
    </w:p>
    <w:p>
      <w:pPr>
        <w:spacing w:after="120" w:line="276"/>
        <w:jc w:val="both"/>
      </w:pPr>
      <w:r>
        <w:rPr>
          <w:rFonts w:ascii="Calibri" w:cs="Calibri" w:eastAsia="Calibri" w:hAnsi="Calibri"/>
        </w:rPr>
        <w:t xml:space="preserve">The financial year 2025–26 was a year of consolidation and institution-building for Vanasamakhya. Working with tribal and forest-dependent communities of Mulugu district, Telangana, the organisation carried forward NABARD-supported orchard (Maa Thota / Wadi) development, strengthened two farmer producer organisations, supported women-led enterprises, and expanded into natural farming and youth skill development with new partners.</w:t>
      </w:r>
    </w:p>
    <w:p>
      <w:pPr>
        <w:spacing w:after="120" w:line="276"/>
        <w:jc w:val="both"/>
      </w:pPr>
      <w:r>
        <w:rPr>
          <w:rFonts w:ascii="Calibri" w:cs="Calibri" w:eastAsia="Calibri" w:hAnsi="Calibri"/>
        </w:rPr>
        <w:t xml:space="preserve">Under the </w:t>
      </w:r>
      <w:r>
        <w:rPr>
          <w:rFonts w:ascii="Calibri" w:cs="Calibri" w:eastAsia="Calibri" w:hAnsi="Calibri"/>
          <w:b/>
          <w:bCs/>
        </w:rPr>
        <w:t xml:space="preserve">Tribal Development Fund (TDF) – Venkatapuram project</w:t>
      </w:r>
      <w:r>
        <w:rPr>
          <w:rFonts w:ascii="Calibri" w:cs="Calibri" w:eastAsia="Calibri" w:hAnsi="Calibri"/>
        </w:rPr>
        <w:t xml:space="preserve">, plantation with intercropping was completed in </w:t>
      </w:r>
      <w:r>
        <w:rPr>
          <w:rFonts w:ascii="Calibri" w:cs="Calibri" w:eastAsia="Calibri" w:hAnsi="Calibri"/>
          <w:b/>
          <w:bCs/>
        </w:rPr>
        <w:t xml:space="preserve">326 Wadis</w:t>
      </w:r>
      <w:r>
        <w:rPr>
          <w:rFonts w:ascii="Calibri" w:cs="Calibri" w:eastAsia="Calibri" w:hAnsi="Calibri"/>
        </w:rPr>
        <w:t xml:space="preserve"> by 31 March 2026 (181 in Year 1 and 145 in Year 2), supported by water-resource development and </w:t>
      </w:r>
      <w:r>
        <w:rPr>
          <w:rFonts w:ascii="Calibri" w:cs="Calibri" w:eastAsia="Calibri" w:hAnsi="Calibri"/>
          <w:b/>
          <w:bCs/>
        </w:rPr>
        <w:t xml:space="preserve">23 livelihood units</w:t>
      </w:r>
      <w:r>
        <w:rPr>
          <w:rFonts w:ascii="Calibri" w:cs="Calibri" w:eastAsia="Calibri" w:hAnsi="Calibri"/>
        </w:rPr>
        <w:t xml:space="preserve">. In the completed </w:t>
      </w:r>
      <w:r>
        <w:rPr>
          <w:rFonts w:ascii="Calibri" w:cs="Calibri" w:eastAsia="Calibri" w:hAnsi="Calibri"/>
          <w:b/>
          <w:bCs/>
        </w:rPr>
        <w:t xml:space="preserve">TDF project of Tadvai and Govindaraopet mandals</w:t>
      </w:r>
      <w:r>
        <w:rPr>
          <w:rFonts w:ascii="Calibri" w:cs="Calibri" w:eastAsia="Calibri" w:hAnsi="Calibri"/>
        </w:rPr>
        <w:t xml:space="preserve">, Vanasamakhya restored orchards damaged by fire and unseasonal storms, introduced Banganapalli top-working (grafting), and completed the Project Completion Report (PCR) verified in the field by NABARD.</w:t>
      </w:r>
    </w:p>
    <w:p>
      <w:pPr>
        <w:spacing w:after="120" w:line="276"/>
        <w:jc w:val="both"/>
      </w:pPr>
      <w:r>
        <w:rPr>
          <w:rFonts w:ascii="Calibri" w:cs="Calibri" w:eastAsia="Calibri" w:hAnsi="Calibri"/>
          <w:b/>
          <w:bCs/>
        </w:rPr>
        <w:t xml:space="preserve">Medaram FPO</w:t>
      </w:r>
      <w:r>
        <w:rPr>
          <w:rFonts w:ascii="Calibri" w:cs="Calibri" w:eastAsia="Calibri" w:hAnsi="Calibri"/>
        </w:rPr>
        <w:t xml:space="preserve"> mobilised </w:t>
      </w:r>
      <w:r>
        <w:rPr>
          <w:rFonts w:ascii="Calibri" w:cs="Calibri" w:eastAsia="Calibri" w:hAnsi="Calibri"/>
          <w:b/>
          <w:bCs/>
        </w:rPr>
        <w:t xml:space="preserve">₹5.90 lakh</w:t>
      </w:r>
      <w:r>
        <w:rPr>
          <w:rFonts w:ascii="Calibri" w:cs="Calibri" w:eastAsia="Calibri" w:hAnsi="Calibri"/>
        </w:rPr>
        <w:t xml:space="preserve"> in share capital and membership fees from 500 members, obtained GST registration and input-dealer licences, and recorded its first business turnover of ₹2.00 lakh. </w:t>
      </w:r>
      <w:r>
        <w:rPr>
          <w:rFonts w:ascii="Calibri" w:cs="Calibri" w:eastAsia="Calibri" w:hAnsi="Calibri"/>
          <w:b/>
          <w:bCs/>
        </w:rPr>
        <w:t xml:space="preserve">Sammakka Sarakka FPCL</w:t>
      </w:r>
      <w:r>
        <w:rPr>
          <w:rFonts w:ascii="Calibri" w:cs="Calibri" w:eastAsia="Calibri" w:hAnsi="Calibri"/>
        </w:rPr>
        <w:t xml:space="preserve"> marketed tribal honey, pickles and mangoes through the Medaram Gram Dukan and NABARD-supported stalls in Hyderabad and Warangal, while </w:t>
      </w:r>
      <w:r>
        <w:rPr>
          <w:rFonts w:ascii="Calibri" w:cs="Calibri" w:eastAsia="Calibri" w:hAnsi="Calibri"/>
          <w:b/>
          <w:bCs/>
        </w:rPr>
        <w:t xml:space="preserve">120 SHG women</w:t>
      </w:r>
      <w:r>
        <w:rPr>
          <w:rFonts w:ascii="Calibri" w:cs="Calibri" w:eastAsia="Calibri" w:hAnsi="Calibri"/>
        </w:rPr>
        <w:t xml:space="preserve"> trained under LEDP received certificates and stipends and were facilitated for ₹30 lakh of bank credit.</w:t>
      </w:r>
    </w:p>
    <w:p>
      <w:pPr>
        <w:spacing w:after="120" w:line="276"/>
        <w:jc w:val="both"/>
      </w:pPr>
      <w:r>
        <w:rPr>
          <w:rFonts w:ascii="Calibri" w:cs="Calibri" w:eastAsia="Calibri" w:hAnsi="Calibri"/>
        </w:rPr>
        <w:t xml:space="preserve">New initiatives included a </w:t>
      </w:r>
      <w:r>
        <w:rPr>
          <w:rFonts w:ascii="Calibri" w:cs="Calibri" w:eastAsia="Calibri" w:hAnsi="Calibri"/>
          <w:b/>
          <w:bCs/>
        </w:rPr>
        <w:t xml:space="preserve">natural farming project with Azim Premji Foundation</w:t>
      </w:r>
      <w:r>
        <w:rPr>
          <w:rFonts w:ascii="Calibri" w:cs="Calibri" w:eastAsia="Calibri" w:hAnsi="Calibri"/>
        </w:rPr>
        <w:t xml:space="preserve"> in five villages of Govindaraopet mandal and a </w:t>
      </w:r>
      <w:r>
        <w:rPr>
          <w:rFonts w:ascii="Calibri" w:cs="Calibri" w:eastAsia="Calibri" w:hAnsi="Calibri"/>
          <w:b/>
          <w:bCs/>
        </w:rPr>
        <w:t xml:space="preserve">Skill Development and Livelihood Enhancement Programme with CRPF 39th Battalion</w:t>
      </w:r>
      <w:r>
        <w:rPr>
          <w:rFonts w:ascii="Calibri" w:cs="Calibri" w:eastAsia="Calibri" w:hAnsi="Calibri"/>
        </w:rPr>
        <w:t xml:space="preserve"> that trained </w:t>
      </w:r>
      <w:r>
        <w:rPr>
          <w:rFonts w:ascii="Calibri" w:cs="Calibri" w:eastAsia="Calibri" w:hAnsi="Calibri"/>
          <w:b/>
          <w:bCs/>
        </w:rPr>
        <w:t xml:space="preserve">125 tribal youth and women</w:t>
      </w:r>
      <w:r>
        <w:rPr>
          <w:rFonts w:ascii="Calibri" w:cs="Calibri" w:eastAsia="Calibri" w:hAnsi="Calibri"/>
        </w:rPr>
        <w:t xml:space="preserve"> in five trades. The accounts for 2025–26 were audited by M/s Sampath &amp; Ramesh, Chartered Accountants, who issued an unmodified (clean) opinion; total income for the year was </w:t>
      </w:r>
      <w:r>
        <w:rPr>
          <w:rFonts w:ascii="Calibri" w:cs="Calibri" w:eastAsia="Calibri" w:hAnsi="Calibri"/>
          <w:b/>
          <w:bCs/>
        </w:rPr>
        <w:t xml:space="preserve">₹40.88 lakh</w:t>
      </w:r>
      <w:r>
        <w:rPr>
          <w:rFonts w:ascii="Calibri" w:cs="Calibri" w:eastAsia="Calibri" w:hAnsi="Calibri"/>
        </w:rPr>
        <w:t xml:space="preserve">.</w:t>
      </w:r>
    </w:p>
    <w:p>
      <w:pPr>
        <w:spacing w:after="120" w:line="276"/>
        <w:jc w:val="both"/>
      </w:pPr>
      <w:r>
        <w:rPr>
          <w:rFonts w:ascii="Calibri" w:cs="Calibri" w:eastAsia="Calibri" w:hAnsi="Calibri"/>
        </w:rPr>
        <w:t xml:space="preserve">Against annual targets, 8 of 12 key indicators were fully achieved; the remaining four (Wadi plantation, livelihood units, share-capital enhancement and women’s credit linkage) are in progress for completion in 2026–27 (Section 6.7). Women made up all 120 LEDP trainees and the 25-member tailoring batch, and about 90% of skill-programme participants were from Scheduled Tribes (Section 6.8).</w:t>
      </w:r>
    </w:p>
    <w:p>
      <w:pPr>
        <w:keepNext/>
        <w:spacing w:after="80" w:before="120"/>
      </w:pPr>
      <w:r>
        <w:rPr>
          <w:rFonts w:ascii="Calibri" w:cs="Calibri" w:eastAsia="Calibri" w:hAnsi="Calibri"/>
          <w:b/>
          <w:bCs/>
          <w:color w:val="14502A"/>
          <w:sz w:val="22"/>
          <w:szCs w:val="22"/>
        </w:rPr>
        <w:t xml:space="preserve">Key Highlights 2025–26</w:t>
      </w:r>
    </w:p>
    <w:tbl>
      <w:tblPr>
        <w:tblW w:type="dxa" w:w="9636"/>
        <w:tblBorders>
          <w:top w:val="single" w:color="auto" w:sz="4"/>
          <w:left w:val="single" w:color="auto" w:sz="4"/>
          <w:bottom w:val="single" w:color="auto" w:sz="4"/>
          <w:right w:val="single" w:color="auto" w:sz="4"/>
          <w:insideH w:val="single" w:color="auto" w:sz="4"/>
          <w:insideV w:val="single" w:color="auto" w:sz="4"/>
        </w:tblBorders>
      </w:tblPr>
      <w:tblGrid>
        <w:gridCol w:w="2409"/>
        <w:gridCol w:w="2409"/>
        <w:gridCol w:w="2409"/>
        <w:gridCol w:w="2409"/>
      </w:tblGrid>
      <w:tr>
        <w:trPr>
          <w:cantSplit/>
        </w:trPr>
        <w:tc>
          <w:tcPr>
            <w:tcW w:type="dxa" w:w="2409"/>
            <w:tcBorders>
              <w:top w:val="single" w:color="FFFFFF" w:sz="12"/>
              <w:left w:val="single" w:color="FFFFFF" w:sz="12"/>
              <w:bottom w:val="single" w:color="FFFFFF" w:sz="12"/>
              <w:right w:val="single" w:color="FFFFFF" w:sz="12"/>
            </w:tcBorders>
            <w:shd w:fill="E8F3EC" w:color="auto" w:val="clear"/>
            <w:tcMar>
              <w:top w:type="dxa" w:w="100"/>
              <w:left w:type="dxa" w:w="80"/>
              <w:bottom w:type="dxa" w:w="100"/>
              <w:right w:type="dxa" w:w="80"/>
            </w:tcMar>
            <w:vAlign w:val="center"/>
          </w:tcPr>
          <w:p>
            <w:pPr>
              <w:spacing w:after="20"/>
              <w:jc w:val="center"/>
            </w:pPr>
            <w:r>
              <w:rPr>
                <w:rFonts w:ascii="Calibri" w:cs="Calibri" w:eastAsia="Calibri" w:hAnsi="Calibri"/>
                <w:b/>
                <w:bCs/>
                <w:color w:val="14502A"/>
                <w:sz w:val="32"/>
                <w:szCs w:val="32"/>
              </w:rPr>
              <w:t xml:space="preserve">326</w:t>
            </w:r>
          </w:p>
          <w:p>
            <w:pPr>
              <w:spacing w:after="0"/>
              <w:jc w:val="center"/>
            </w:pPr>
            <w:r>
              <w:rPr>
                <w:rFonts w:ascii="Calibri" w:cs="Calibri" w:eastAsia="Calibri" w:hAnsi="Calibri"/>
                <w:color w:val="333333"/>
                <w:sz w:val="17"/>
                <w:szCs w:val="17"/>
              </w:rPr>
              <w:t xml:space="preserve">Wadis established under TDF Venkatapuram (by Mar 2026)</w:t>
            </w:r>
          </w:p>
        </w:tc>
        <w:tc>
          <w:tcPr>
            <w:tcW w:type="dxa" w:w="2409"/>
            <w:tcBorders>
              <w:top w:val="single" w:color="FFFFFF" w:sz="12"/>
              <w:left w:val="single" w:color="FFFFFF" w:sz="12"/>
              <w:bottom w:val="single" w:color="FFFFFF" w:sz="12"/>
              <w:right w:val="single" w:color="FFFFFF" w:sz="12"/>
            </w:tcBorders>
            <w:shd w:fill="E8F3EC" w:color="auto" w:val="clear"/>
            <w:tcMar>
              <w:top w:type="dxa" w:w="100"/>
              <w:left w:type="dxa" w:w="80"/>
              <w:bottom w:type="dxa" w:w="100"/>
              <w:right w:type="dxa" w:w="80"/>
            </w:tcMar>
            <w:vAlign w:val="center"/>
          </w:tcPr>
          <w:p>
            <w:pPr>
              <w:spacing w:after="20"/>
              <w:jc w:val="center"/>
            </w:pPr>
            <w:r>
              <w:rPr>
                <w:rFonts w:ascii="Calibri" w:cs="Calibri" w:eastAsia="Calibri" w:hAnsi="Calibri"/>
                <w:b/>
                <w:bCs/>
                <w:color w:val="14502A"/>
                <w:sz w:val="32"/>
                <w:szCs w:val="32"/>
              </w:rPr>
              <w:t xml:space="preserve">₹14.26 L</w:t>
            </w:r>
          </w:p>
          <w:p>
            <w:pPr>
              <w:spacing w:after="0"/>
              <w:jc w:val="center"/>
            </w:pPr>
            <w:r>
              <w:rPr>
                <w:rFonts w:ascii="Calibri" w:cs="Calibri" w:eastAsia="Calibri" w:hAnsi="Calibri"/>
                <w:color w:val="333333"/>
                <w:sz w:val="17"/>
                <w:szCs w:val="17"/>
              </w:rPr>
              <w:t xml:space="preserve">Resources mobilised through convergence</w:t>
            </w:r>
          </w:p>
        </w:tc>
        <w:tc>
          <w:tcPr>
            <w:tcW w:type="dxa" w:w="2409"/>
            <w:tcBorders>
              <w:top w:val="single" w:color="FFFFFF" w:sz="12"/>
              <w:left w:val="single" w:color="FFFFFF" w:sz="12"/>
              <w:bottom w:val="single" w:color="FFFFFF" w:sz="12"/>
              <w:right w:val="single" w:color="FFFFFF" w:sz="12"/>
            </w:tcBorders>
            <w:shd w:fill="E8F3EC" w:color="auto" w:val="clear"/>
            <w:tcMar>
              <w:top w:type="dxa" w:w="100"/>
              <w:left w:type="dxa" w:w="80"/>
              <w:bottom w:type="dxa" w:w="100"/>
              <w:right w:type="dxa" w:w="80"/>
            </w:tcMar>
            <w:vAlign w:val="center"/>
          </w:tcPr>
          <w:p>
            <w:pPr>
              <w:spacing w:after="20"/>
              <w:jc w:val="center"/>
            </w:pPr>
            <w:r>
              <w:rPr>
                <w:rFonts w:ascii="Calibri" w:cs="Calibri" w:eastAsia="Calibri" w:hAnsi="Calibri"/>
                <w:b/>
                <w:bCs/>
                <w:color w:val="14502A"/>
                <w:sz w:val="32"/>
                <w:szCs w:val="32"/>
              </w:rPr>
              <w:t xml:space="preserve">23</w:t>
            </w:r>
          </w:p>
          <w:p>
            <w:pPr>
              <w:spacing w:after="0"/>
              <w:jc w:val="center"/>
            </w:pPr>
            <w:r>
              <w:rPr>
                <w:rFonts w:ascii="Calibri" w:cs="Calibri" w:eastAsia="Calibri" w:hAnsi="Calibri"/>
                <w:color w:val="333333"/>
                <w:sz w:val="17"/>
                <w:szCs w:val="17"/>
              </w:rPr>
              <w:t xml:space="preserve">Livelihood units grounded (Venkatapuram)</w:t>
            </w:r>
          </w:p>
        </w:tc>
        <w:tc>
          <w:tcPr>
            <w:tcW w:type="dxa" w:w="2409"/>
            <w:tcBorders>
              <w:top w:val="single" w:color="FFFFFF" w:sz="12"/>
              <w:left w:val="single" w:color="FFFFFF" w:sz="12"/>
              <w:bottom w:val="single" w:color="FFFFFF" w:sz="12"/>
              <w:right w:val="single" w:color="FFFFFF" w:sz="12"/>
            </w:tcBorders>
            <w:shd w:fill="E8F3EC" w:color="auto" w:val="clear"/>
            <w:tcMar>
              <w:top w:type="dxa" w:w="100"/>
              <w:left w:type="dxa" w:w="80"/>
              <w:bottom w:type="dxa" w:w="100"/>
              <w:right w:type="dxa" w:w="80"/>
            </w:tcMar>
            <w:vAlign w:val="center"/>
          </w:tcPr>
          <w:p>
            <w:pPr>
              <w:spacing w:after="20"/>
              <w:jc w:val="center"/>
            </w:pPr>
            <w:r>
              <w:rPr>
                <w:rFonts w:ascii="Calibri" w:cs="Calibri" w:eastAsia="Calibri" w:hAnsi="Calibri"/>
                <w:b/>
                <w:bCs/>
                <w:color w:val="14502A"/>
                <w:sz w:val="32"/>
                <w:szCs w:val="32"/>
              </w:rPr>
              <w:t xml:space="preserve">1,155</w:t>
            </w:r>
          </w:p>
          <w:p>
            <w:pPr>
              <w:spacing w:after="0"/>
              <w:jc w:val="center"/>
            </w:pPr>
            <w:r>
              <w:rPr>
                <w:rFonts w:ascii="Calibri" w:cs="Calibri" w:eastAsia="Calibri" w:hAnsi="Calibri"/>
                <w:color w:val="333333"/>
                <w:sz w:val="17"/>
                <w:szCs w:val="17"/>
              </w:rPr>
              <w:t xml:space="preserve">Mango plants replanted after fire damage</w:t>
            </w:r>
          </w:p>
        </w:tc>
      </w:tr>
      <w:tr>
        <w:trPr>
          <w:cantSplit/>
        </w:trPr>
        <w:tc>
          <w:tcPr>
            <w:tcW w:type="dxa" w:w="2409"/>
            <w:tcBorders>
              <w:top w:val="single" w:color="FFFFFF" w:sz="12"/>
              <w:left w:val="single" w:color="FFFFFF" w:sz="12"/>
              <w:bottom w:val="single" w:color="FFFFFF" w:sz="12"/>
              <w:right w:val="single" w:color="FFFFFF" w:sz="12"/>
            </w:tcBorders>
            <w:shd w:fill="E8F3EC" w:color="auto" w:val="clear"/>
            <w:tcMar>
              <w:top w:type="dxa" w:w="100"/>
              <w:left w:type="dxa" w:w="80"/>
              <w:bottom w:type="dxa" w:w="100"/>
              <w:right w:type="dxa" w:w="80"/>
            </w:tcMar>
            <w:vAlign w:val="center"/>
          </w:tcPr>
          <w:p>
            <w:pPr>
              <w:spacing w:after="20"/>
              <w:jc w:val="center"/>
            </w:pPr>
            <w:r>
              <w:rPr>
                <w:rFonts w:ascii="Calibri" w:cs="Calibri" w:eastAsia="Calibri" w:hAnsi="Calibri"/>
                <w:b/>
                <w:bCs/>
                <w:color w:val="14502A"/>
                <w:sz w:val="32"/>
                <w:szCs w:val="32"/>
              </w:rPr>
              <w:t xml:space="preserve">500</w:t>
            </w:r>
          </w:p>
          <w:p>
            <w:pPr>
              <w:spacing w:after="0"/>
              <w:jc w:val="center"/>
            </w:pPr>
            <w:r>
              <w:rPr>
                <w:rFonts w:ascii="Calibri" w:cs="Calibri" w:eastAsia="Calibri" w:hAnsi="Calibri"/>
                <w:color w:val="333333"/>
                <w:sz w:val="17"/>
                <w:szCs w:val="17"/>
              </w:rPr>
              <w:t xml:space="preserve">Members mobilised in Medaram FPO</w:t>
            </w:r>
          </w:p>
        </w:tc>
        <w:tc>
          <w:tcPr>
            <w:tcW w:type="dxa" w:w="2409"/>
            <w:tcBorders>
              <w:top w:val="single" w:color="FFFFFF" w:sz="12"/>
              <w:left w:val="single" w:color="FFFFFF" w:sz="12"/>
              <w:bottom w:val="single" w:color="FFFFFF" w:sz="12"/>
              <w:right w:val="single" w:color="FFFFFF" w:sz="12"/>
            </w:tcBorders>
            <w:shd w:fill="E8F3EC" w:color="auto" w:val="clear"/>
            <w:tcMar>
              <w:top w:type="dxa" w:w="100"/>
              <w:left w:type="dxa" w:w="80"/>
              <w:bottom w:type="dxa" w:w="100"/>
              <w:right w:type="dxa" w:w="80"/>
            </w:tcMar>
            <w:vAlign w:val="center"/>
          </w:tcPr>
          <w:p>
            <w:pPr>
              <w:spacing w:after="20"/>
              <w:jc w:val="center"/>
            </w:pPr>
            <w:r>
              <w:rPr>
                <w:rFonts w:ascii="Calibri" w:cs="Calibri" w:eastAsia="Calibri" w:hAnsi="Calibri"/>
                <w:b/>
                <w:bCs/>
                <w:color w:val="14502A"/>
                <w:sz w:val="32"/>
                <w:szCs w:val="32"/>
              </w:rPr>
              <w:t xml:space="preserve">₹5.90 L</w:t>
            </w:r>
          </w:p>
          <w:p>
            <w:pPr>
              <w:spacing w:after="0"/>
              <w:jc w:val="center"/>
            </w:pPr>
            <w:r>
              <w:rPr>
                <w:rFonts w:ascii="Calibri" w:cs="Calibri" w:eastAsia="Calibri" w:hAnsi="Calibri"/>
                <w:color w:val="333333"/>
                <w:sz w:val="17"/>
                <w:szCs w:val="17"/>
              </w:rPr>
              <w:t xml:space="preserve">Share capital &amp; fees raised by Medaram FPO</w:t>
            </w:r>
          </w:p>
        </w:tc>
        <w:tc>
          <w:tcPr>
            <w:tcW w:type="dxa" w:w="2409"/>
            <w:tcBorders>
              <w:top w:val="single" w:color="FFFFFF" w:sz="12"/>
              <w:left w:val="single" w:color="FFFFFF" w:sz="12"/>
              <w:bottom w:val="single" w:color="FFFFFF" w:sz="12"/>
              <w:right w:val="single" w:color="FFFFFF" w:sz="12"/>
            </w:tcBorders>
            <w:shd w:fill="E8F3EC" w:color="auto" w:val="clear"/>
            <w:tcMar>
              <w:top w:type="dxa" w:w="100"/>
              <w:left w:type="dxa" w:w="80"/>
              <w:bottom w:type="dxa" w:w="100"/>
              <w:right w:type="dxa" w:w="80"/>
            </w:tcMar>
            <w:vAlign w:val="center"/>
          </w:tcPr>
          <w:p>
            <w:pPr>
              <w:spacing w:after="20"/>
              <w:jc w:val="center"/>
            </w:pPr>
            <w:r>
              <w:rPr>
                <w:rFonts w:ascii="Calibri" w:cs="Calibri" w:eastAsia="Calibri" w:hAnsi="Calibri"/>
                <w:b/>
                <w:bCs/>
                <w:color w:val="14502A"/>
                <w:sz w:val="32"/>
                <w:szCs w:val="32"/>
              </w:rPr>
              <w:t xml:space="preserve">120</w:t>
            </w:r>
          </w:p>
          <w:p>
            <w:pPr>
              <w:spacing w:after="0"/>
              <w:jc w:val="center"/>
            </w:pPr>
            <w:r>
              <w:rPr>
                <w:rFonts w:ascii="Calibri" w:cs="Calibri" w:eastAsia="Calibri" w:hAnsi="Calibri"/>
                <w:color w:val="333333"/>
                <w:sz w:val="17"/>
                <w:szCs w:val="17"/>
              </w:rPr>
              <w:t xml:space="preserve">SHG women certified under LEDP (beekeeping)</w:t>
            </w:r>
          </w:p>
        </w:tc>
        <w:tc>
          <w:tcPr>
            <w:tcW w:type="dxa" w:w="2409"/>
            <w:tcBorders>
              <w:top w:val="single" w:color="FFFFFF" w:sz="12"/>
              <w:left w:val="single" w:color="FFFFFF" w:sz="12"/>
              <w:bottom w:val="single" w:color="FFFFFF" w:sz="12"/>
              <w:right w:val="single" w:color="FFFFFF" w:sz="12"/>
            </w:tcBorders>
            <w:shd w:fill="E8F3EC" w:color="auto" w:val="clear"/>
            <w:tcMar>
              <w:top w:type="dxa" w:w="100"/>
              <w:left w:type="dxa" w:w="80"/>
              <w:bottom w:type="dxa" w:w="100"/>
              <w:right w:type="dxa" w:w="80"/>
            </w:tcMar>
            <w:vAlign w:val="center"/>
          </w:tcPr>
          <w:p>
            <w:pPr>
              <w:spacing w:after="20"/>
              <w:jc w:val="center"/>
            </w:pPr>
            <w:r>
              <w:rPr>
                <w:rFonts w:ascii="Calibri" w:cs="Calibri" w:eastAsia="Calibri" w:hAnsi="Calibri"/>
                <w:b/>
                <w:bCs/>
                <w:color w:val="14502A"/>
                <w:sz w:val="32"/>
                <w:szCs w:val="32"/>
              </w:rPr>
              <w:t xml:space="preserve">125</w:t>
            </w:r>
          </w:p>
          <w:p>
            <w:pPr>
              <w:spacing w:after="0"/>
              <w:jc w:val="center"/>
            </w:pPr>
            <w:r>
              <w:rPr>
                <w:rFonts w:ascii="Calibri" w:cs="Calibri" w:eastAsia="Calibri" w:hAnsi="Calibri"/>
                <w:color w:val="333333"/>
                <w:sz w:val="17"/>
                <w:szCs w:val="17"/>
              </w:rPr>
              <w:t xml:space="preserve">Tribal youth &amp; women skilled with CRPF</w:t>
            </w:r>
          </w:p>
        </w:tc>
      </w:tr>
    </w:tbl>
    <w:p>
      <w:pPr>
        <w:spacing w:after="160"/>
      </w:pPr>
    </w:p>
    <w:p>
      <w:pPr>
        <w:keepNext/>
        <w:spacing w:after="80" w:before="120"/>
      </w:pPr>
      <w:r>
        <w:rPr>
          <w:rFonts w:ascii="Calibri" w:cs="Calibri" w:eastAsia="Calibri" w:hAnsi="Calibri"/>
          <w:b/>
          <w:bCs/>
          <w:color w:val="14502A"/>
          <w:sz w:val="22"/>
          <w:szCs w:val="22"/>
        </w:rPr>
        <w:t xml:space="preserve">Outreach at a Glance (2025–26)</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500"/>
        <w:gridCol w:w="2000"/>
        <w:gridCol w:w="4138"/>
      </w:tblGrid>
      <w:tr>
        <w:trPr>
          <w:cantSplit/>
          <w:tblHeader/>
        </w:trPr>
        <w:tc>
          <w:tcPr>
            <w:tcW w:type="dxa" w:w="35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Programme</w:t>
            </w:r>
          </w:p>
        </w:tc>
        <w:tc>
          <w:tcPr>
            <w:tcW w:type="dxa" w:w="20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Supported by</w:t>
            </w:r>
          </w:p>
        </w:tc>
        <w:tc>
          <w:tcPr>
            <w:tcW w:type="dxa" w:w="4138"/>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Direct participants / beneficiaries</w:t>
            </w:r>
          </w:p>
        </w:tc>
      </w:tr>
      <w:tr>
        <w:trPr>
          <w:cantSplit/>
        </w:trPr>
        <w:tc>
          <w:tcPr>
            <w:tcW w:type="dxa" w:w="3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TDF – Venkatapuram (Wadi + livelihood units)</w:t>
            </w:r>
          </w:p>
        </w:tc>
        <w:tc>
          <w:tcPr>
            <w:tcW w:type="dxa" w:w="2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NABARD</w:t>
            </w:r>
          </w:p>
        </w:tc>
        <w:tc>
          <w:tcPr>
            <w:tcW w:type="dxa" w:w="41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500 tribal families (450 Wadi + 50 livelihood) in 10 villages</w:t>
            </w:r>
          </w:p>
        </w:tc>
      </w:tr>
      <w:tr>
        <w:trPr>
          <w:cantSplit/>
        </w:trPr>
        <w:tc>
          <w:tcPr>
            <w:tcW w:type="dxa" w:w="35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TDF – Tadvai &amp; Govindaraopet (orchard restoration)</w:t>
            </w:r>
          </w:p>
        </w:tc>
        <w:tc>
          <w:tcPr>
            <w:tcW w:type="dxa" w:w="20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NABARD</w:t>
            </w:r>
          </w:p>
        </w:tc>
        <w:tc>
          <w:tcPr>
            <w:tcW w:type="dxa" w:w="41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19 fire-affected and 31 storm-affected farmers; 3 orchards top-worked</w:t>
            </w:r>
          </w:p>
        </w:tc>
      </w:tr>
      <w:tr>
        <w:trPr>
          <w:cantSplit/>
        </w:trPr>
        <w:tc>
          <w:tcPr>
            <w:tcW w:type="dxa" w:w="3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Medaram FPO</w:t>
            </w:r>
          </w:p>
        </w:tc>
        <w:tc>
          <w:tcPr>
            <w:tcW w:type="dxa" w:w="2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NABARD (TDF)</w:t>
            </w:r>
          </w:p>
        </w:tc>
        <w:tc>
          <w:tcPr>
            <w:tcW w:type="dxa" w:w="41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500 farmer-members in 14 villages</w:t>
            </w:r>
          </w:p>
        </w:tc>
      </w:tr>
      <w:tr>
        <w:trPr>
          <w:cantSplit/>
        </w:trPr>
        <w:tc>
          <w:tcPr>
            <w:tcW w:type="dxa" w:w="35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LEDP – beekeeping (SSFPCL)</w:t>
            </w:r>
          </w:p>
        </w:tc>
        <w:tc>
          <w:tcPr>
            <w:tcW w:type="dxa" w:w="20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NABARD</w:t>
            </w:r>
          </w:p>
        </w:tc>
        <w:tc>
          <w:tcPr>
            <w:tcW w:type="dxa" w:w="41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120 SHG women in 4 villages</w:t>
            </w:r>
          </w:p>
        </w:tc>
      </w:tr>
      <w:tr>
        <w:trPr>
          <w:cantSplit/>
        </w:trPr>
        <w:tc>
          <w:tcPr>
            <w:tcW w:type="dxa" w:w="3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Natural farming project</w:t>
            </w:r>
          </w:p>
        </w:tc>
        <w:tc>
          <w:tcPr>
            <w:tcW w:type="dxa" w:w="2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Azim Premji Foundation</w:t>
            </w:r>
          </w:p>
        </w:tc>
        <w:tc>
          <w:tcPr>
            <w:tcW w:type="dxa" w:w="41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Farmers of 5 villages in 4 Gram Panchayats</w:t>
            </w:r>
          </w:p>
        </w:tc>
      </w:tr>
      <w:tr>
        <w:trPr>
          <w:cantSplit/>
        </w:trPr>
        <w:tc>
          <w:tcPr>
            <w:tcW w:type="dxa" w:w="35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Skill development programme</w:t>
            </w:r>
          </w:p>
        </w:tc>
        <w:tc>
          <w:tcPr>
            <w:tcW w:type="dxa" w:w="20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CRPF 39th Battalion</w:t>
            </w:r>
          </w:p>
        </w:tc>
        <w:tc>
          <w:tcPr>
            <w:tcW w:type="dxa" w:w="41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125 youth and women (25 women in tailoring)</w:t>
            </w:r>
          </w:p>
        </w:tc>
      </w:tr>
      <w:tr>
        <w:trPr>
          <w:cantSplit/>
        </w:trPr>
        <w:tc>
          <w:tcPr>
            <w:tcW w:type="dxa" w:w="3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Convergence – kitchen-garden seeds</w:t>
            </w:r>
          </w:p>
        </w:tc>
        <w:tc>
          <w:tcPr>
            <w:tcW w:type="dxa" w:w="2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Horticulture Dept. &amp; ITDA</w:t>
            </w:r>
          </w:p>
        </w:tc>
        <w:tc>
          <w:tcPr>
            <w:tcW w:type="dxa" w:w="41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100 farmers</w:t>
            </w:r>
          </w:p>
        </w:tc>
      </w:tr>
    </w:tbl>
    <w:p>
      <w:pPr>
        <w:spacing w:after="140"/>
      </w:pPr>
    </w:p>
    <w:p>
      <w:pPr>
        <w:pStyle w:val="Heading1"/>
        <w:keepNext/>
      </w:pPr>
      <w:r>
        <w:rPr>
          <w:rFonts w:ascii="Calibri" w:cs="Calibri" w:eastAsia="Calibri" w:hAnsi="Calibri"/>
        </w:rPr>
        <w:t xml:space="preserve">2. About Vanasamakhya</w:t>
      </w:r>
    </w:p>
    <w:p>
      <w:pPr>
        <w:spacing w:after="120" w:line="276"/>
        <w:jc w:val="both"/>
      </w:pPr>
      <w:r>
        <w:rPr>
          <w:rFonts w:ascii="Calibri" w:cs="Calibri" w:eastAsia="Calibri" w:hAnsi="Calibri"/>
        </w:rPr>
        <w:t xml:space="preserve">Founded in 2002, Vanasamakhya is a collective network of Village Forest Committees (VFCs/VSSs) working within the Joint Forest Management (JFM) framework to support forest-dependent Scheduled Tribe communities. Our mission is to empower communities through participatory forest governance and to promote equitable development, particularly for tribal populations, women and marginalised groups.</w:t>
      </w:r>
    </w:p>
    <w:p>
      <w:pPr>
        <w:spacing w:after="120" w:line="276"/>
        <w:jc w:val="both"/>
      </w:pPr>
      <w:r>
        <w:rPr>
          <w:rFonts w:ascii="Calibri" w:cs="Calibri" w:eastAsia="Calibri" w:hAnsi="Calibri"/>
        </w:rPr>
        <w:t xml:space="preserve">Through consistent collaboration with local communities, government agencies and civil-society organisations, Vanasamakhya strives to foster decentralised forest governance, strengthen rural livelihoods and advance sustainable natural resource management. Vanasamakhya is a registered society and serves as the Project Implementing Agency (PIA) for NABARD’s Tribal Development Fund projects in Mulugu district.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6438"/>
      </w:tblGrid>
      <w:tr>
        <w:trPr>
          <w:cantSplit/>
          <w:tblHeader/>
        </w:trPr>
        <w:tc>
          <w:tcPr>
            <w:tcW w:type="dxa" w:w="32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Particular</w:t>
            </w:r>
          </w:p>
        </w:tc>
        <w:tc>
          <w:tcPr>
            <w:tcW w:type="dxa" w:w="6438"/>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Details</w:t>
            </w:r>
          </w:p>
        </w:tc>
      </w:tr>
      <w:tr>
        <w:trPr>
          <w:cantSplit/>
        </w:trPr>
        <w:tc>
          <w:tcPr>
            <w:tcW w:type="dxa" w:w="32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Name of the organisation</w:t>
            </w:r>
          </w:p>
        </w:tc>
        <w:tc>
          <w:tcPr>
            <w:tcW w:type="dxa" w:w="64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Vanasamakhya</w:t>
            </w:r>
          </w:p>
        </w:tc>
      </w:tr>
      <w:tr>
        <w:trPr>
          <w:cantSplit/>
        </w:trPr>
        <w:tc>
          <w:tcPr>
            <w:tcW w:type="dxa" w:w="32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Legal status</w:t>
            </w:r>
          </w:p>
        </w:tc>
        <w:tc>
          <w:tcPr>
            <w:tcW w:type="dxa" w:w="64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Registered Society (AOP – Regd. Society)</w:t>
            </w:r>
          </w:p>
        </w:tc>
      </w:tr>
      <w:tr>
        <w:trPr>
          <w:cantSplit/>
        </w:trPr>
        <w:tc>
          <w:tcPr>
            <w:tcW w:type="dxa" w:w="32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Year of establishment</w:t>
            </w:r>
          </w:p>
        </w:tc>
        <w:tc>
          <w:tcPr>
            <w:tcW w:type="dxa" w:w="64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2002</w:t>
            </w:r>
          </w:p>
        </w:tc>
      </w:tr>
      <w:tr>
        <w:trPr>
          <w:cantSplit/>
        </w:trPr>
        <w:tc>
          <w:tcPr>
            <w:tcW w:type="dxa" w:w="32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PAN</w:t>
            </w:r>
          </w:p>
        </w:tc>
        <w:tc>
          <w:tcPr>
            <w:tcW w:type="dxa" w:w="64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AABAV4699J</w:t>
            </w:r>
          </w:p>
        </w:tc>
      </w:tr>
      <w:tr>
        <w:trPr>
          <w:cantSplit/>
        </w:trPr>
        <w:tc>
          <w:tcPr>
            <w:tcW w:type="dxa" w:w="32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Registered office</w:t>
            </w:r>
          </w:p>
        </w:tc>
        <w:tc>
          <w:tcPr>
            <w:tcW w:type="dxa" w:w="64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H.No. 4-12/29, Street No. 01, Srisai Durganagar, Boduppal, Hyderabad – 500 092</w:t>
            </w:r>
          </w:p>
        </w:tc>
      </w:tr>
      <w:tr>
        <w:trPr>
          <w:cantSplit/>
        </w:trPr>
        <w:tc>
          <w:tcPr>
            <w:tcW w:type="dxa" w:w="32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Field office</w:t>
            </w:r>
          </w:p>
        </w:tc>
        <w:tc>
          <w:tcPr>
            <w:tcW w:type="dxa" w:w="64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Pasra, Govindaraopet mandal, Mulugu district, Telangana</w:t>
            </w:r>
          </w:p>
        </w:tc>
      </w:tr>
      <w:tr>
        <w:trPr>
          <w:cantSplit/>
        </w:trPr>
        <w:tc>
          <w:tcPr>
            <w:tcW w:type="dxa" w:w="32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Secretary / Chief Functionary</w:t>
            </w:r>
          </w:p>
        </w:tc>
        <w:tc>
          <w:tcPr>
            <w:tcW w:type="dxa" w:w="64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Shri D. Srinivasulu</w:t>
            </w:r>
          </w:p>
        </w:tc>
      </w:tr>
      <w:tr>
        <w:trPr>
          <w:cantSplit/>
        </w:trPr>
        <w:tc>
          <w:tcPr>
            <w:tcW w:type="dxa" w:w="32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Treasurer</w:t>
            </w:r>
          </w:p>
        </w:tc>
        <w:tc>
          <w:tcPr>
            <w:tcW w:type="dxa" w:w="64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Shri Ch. Ramulu</w:t>
            </w:r>
          </w:p>
        </w:tc>
      </w:tr>
      <w:tr>
        <w:trPr>
          <w:cantSplit/>
        </w:trPr>
        <w:tc>
          <w:tcPr>
            <w:tcW w:type="dxa" w:w="32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Statutory auditor</w:t>
            </w:r>
          </w:p>
        </w:tc>
        <w:tc>
          <w:tcPr>
            <w:tcW w:type="dxa" w:w="64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M/s Sampath &amp; Ramesh, Chartered Accountants (FRN 005947S)</w:t>
            </w:r>
          </w:p>
        </w:tc>
      </w:tr>
    </w:tbl>
    <w:p>
      <w:pPr>
        <w:spacing w:after="140"/>
      </w:pPr>
    </w:p>
    <w:p>
      <w:pPr>
        <w:pStyle w:val="Heading1"/>
        <w:keepNext/>
      </w:pPr>
      <w:r>
        <w:rPr>
          <w:rFonts w:ascii="Calibri" w:cs="Calibri" w:eastAsia="Calibri" w:hAnsi="Calibri"/>
        </w:rPr>
        <w:t xml:space="preserve">3. Goal</w:t>
      </w:r>
    </w:p>
    <w:p>
      <w:pPr>
        <w:spacing w:after="120" w:line="276"/>
        <w:jc w:val="both"/>
      </w:pPr>
      <w:r>
        <w:rPr>
          <w:rFonts w:ascii="Calibri" w:cs="Calibri" w:eastAsia="Calibri" w:hAnsi="Calibri"/>
        </w:rPr>
        <w:t xml:space="preserve">To coordinate forest and livelihood management in forest-dependent communities, promoting sustainability and strengthening Village Forest Committees (VFCs) with equitable participation and self-reliance.</w:t>
      </w:r>
    </w:p>
    <w:p>
      <w:pPr>
        <w:pStyle w:val="Heading1"/>
        <w:keepNext/>
      </w:pPr>
      <w:r>
        <w:rPr>
          <w:rFonts w:ascii="Calibri" w:cs="Calibri" w:eastAsia="Calibri" w:hAnsi="Calibri"/>
        </w:rPr>
        <w:t xml:space="preserve">4. Objectives</w:t>
      </w:r>
    </w:p>
    <w:p>
      <w:pPr>
        <w:pStyle w:val="ListParagraph"/>
        <w:numPr>
          <w:ilvl w:val="0"/>
          <w:numId w:val="2"/>
        </w:numPr>
        <w:spacing w:after="60" w:line="264"/>
        <w:jc w:val="both"/>
      </w:pPr>
      <w:r>
        <w:rPr>
          <w:rFonts w:ascii="Calibri" w:cs="Calibri" w:eastAsia="Calibri" w:hAnsi="Calibri"/>
        </w:rPr>
        <w:t xml:space="preserve">Promote active community participation in VFC functioning.</w:t>
      </w:r>
    </w:p>
    <w:p>
      <w:pPr>
        <w:pStyle w:val="ListParagraph"/>
        <w:numPr>
          <w:ilvl w:val="0"/>
          <w:numId w:val="2"/>
        </w:numPr>
        <w:spacing w:after="60" w:line="264"/>
        <w:jc w:val="both"/>
      </w:pPr>
      <w:r>
        <w:rPr>
          <w:rFonts w:ascii="Calibri" w:cs="Calibri" w:eastAsia="Calibri" w:hAnsi="Calibri"/>
        </w:rPr>
        <w:t xml:space="preserve">Ensure representation and leadership opportunities for women, Scheduled Tribes (STs), Scheduled Castes (SCs) and marginalised communities.</w:t>
      </w:r>
    </w:p>
    <w:p>
      <w:pPr>
        <w:pStyle w:val="ListParagraph"/>
        <w:numPr>
          <w:ilvl w:val="0"/>
          <w:numId w:val="2"/>
        </w:numPr>
        <w:spacing w:after="60" w:line="264"/>
        <w:jc w:val="both"/>
      </w:pPr>
      <w:r>
        <w:rPr>
          <w:rFonts w:ascii="Calibri" w:cs="Calibri" w:eastAsia="Calibri" w:hAnsi="Calibri"/>
        </w:rPr>
        <w:t xml:space="preserve">Strengthen VFCs and local Vanasamakhyas through capacity building and cooperation.</w:t>
      </w:r>
    </w:p>
    <w:p>
      <w:pPr>
        <w:pStyle w:val="ListParagraph"/>
        <w:numPr>
          <w:ilvl w:val="0"/>
          <w:numId w:val="2"/>
        </w:numPr>
        <w:spacing w:after="60" w:line="264"/>
        <w:jc w:val="both"/>
      </w:pPr>
      <w:r>
        <w:rPr>
          <w:rFonts w:ascii="Calibri" w:cs="Calibri" w:eastAsia="Calibri" w:hAnsi="Calibri"/>
        </w:rPr>
        <w:t xml:space="preserve">Facilitate dialogue between communities, government and NGOs to resolve issues.</w:t>
      </w:r>
    </w:p>
    <w:p>
      <w:pPr>
        <w:pStyle w:val="ListParagraph"/>
        <w:numPr>
          <w:ilvl w:val="0"/>
          <w:numId w:val="2"/>
        </w:numPr>
        <w:spacing w:after="60" w:line="264"/>
        <w:jc w:val="both"/>
      </w:pPr>
      <w:r>
        <w:rPr>
          <w:rFonts w:ascii="Calibri" w:cs="Calibri" w:eastAsia="Calibri" w:hAnsi="Calibri"/>
        </w:rPr>
        <w:t xml:space="preserve">Enable effective resolution of VFC/EDC and non-VFC-related matters.</w:t>
      </w:r>
    </w:p>
    <w:p>
      <w:pPr>
        <w:pStyle w:val="ListParagraph"/>
        <w:numPr>
          <w:ilvl w:val="0"/>
          <w:numId w:val="2"/>
        </w:numPr>
        <w:spacing w:after="60" w:line="264"/>
        <w:jc w:val="both"/>
      </w:pPr>
      <w:r>
        <w:rPr>
          <w:rFonts w:ascii="Calibri" w:cs="Calibri" w:eastAsia="Calibri" w:hAnsi="Calibri"/>
        </w:rPr>
        <w:t xml:space="preserve">Promote awareness through platforms such as Maa Adavi.</w:t>
      </w:r>
    </w:p>
    <w:p>
      <w:pPr>
        <w:pStyle w:val="ListParagraph"/>
        <w:numPr>
          <w:ilvl w:val="0"/>
          <w:numId w:val="2"/>
        </w:numPr>
        <w:spacing w:after="60" w:line="264"/>
        <w:jc w:val="both"/>
      </w:pPr>
      <w:r>
        <w:rPr>
          <w:rFonts w:ascii="Calibri" w:cs="Calibri" w:eastAsia="Calibri" w:hAnsi="Calibri"/>
        </w:rPr>
        <w:t xml:space="preserve">Collaborate with like-minded organisations to improve forest-dependent livelihoods.</w:t>
      </w:r>
    </w:p>
    <w:p>
      <w:pPr>
        <w:spacing w:after="60"/>
      </w:pPr>
    </w:p>
    <w:p>
      <w:pPr>
        <w:pStyle w:val="Heading1"/>
        <w:keepNext/>
      </w:pPr>
      <w:r>
        <w:rPr>
          <w:rFonts w:ascii="Calibri" w:cs="Calibri" w:eastAsia="Calibri" w:hAnsi="Calibri"/>
        </w:rPr>
        <w:t xml:space="preserve">5. Operational Area</w:t>
      </w:r>
    </w:p>
    <w:p>
      <w:pPr>
        <w:spacing w:after="120" w:line="276"/>
        <w:jc w:val="both"/>
      </w:pPr>
      <w:r>
        <w:rPr>
          <w:rFonts w:ascii="Calibri" w:cs="Calibri" w:eastAsia="Calibri" w:hAnsi="Calibri"/>
        </w:rPr>
        <w:t xml:space="preserve">Vanasamakhya operates across forest-dependent villages of Mulugu district, Telangana, covering activities that range from natural resource management and orchard development to enterprise promotion and skill building. The programmes implemented during 2025–26 and their coverage are summarised below.</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1900"/>
        <w:gridCol w:w="2138"/>
        <w:gridCol w:w="2600"/>
      </w:tblGrid>
      <w:tr>
        <w:trPr>
          <w:cantSplit/>
          <w:tblHeader/>
        </w:trPr>
        <w:tc>
          <w:tcPr>
            <w:tcW w:type="dxa" w:w="30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Programme</w:t>
            </w:r>
          </w:p>
        </w:tc>
        <w:tc>
          <w:tcPr>
            <w:tcW w:type="dxa" w:w="19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Supported by</w:t>
            </w:r>
          </w:p>
        </w:tc>
        <w:tc>
          <w:tcPr>
            <w:tcW w:type="dxa" w:w="2138"/>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Mandal(s)</w:t>
            </w:r>
          </w:p>
        </w:tc>
        <w:tc>
          <w:tcPr>
            <w:tcW w:type="dxa" w:w="26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Coverage</w:t>
            </w:r>
          </w:p>
        </w:tc>
      </w:tr>
      <w:tr>
        <w:trPr>
          <w:cantSplit/>
        </w:trPr>
        <w:tc>
          <w:tcPr>
            <w:tcW w:type="dxa" w:w="3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TDF – Venkatapuram (Wadi development)</w:t>
            </w:r>
          </w:p>
        </w:tc>
        <w:tc>
          <w:tcPr>
            <w:tcW w:type="dxa" w:w="19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NABARD</w:t>
            </w:r>
          </w:p>
        </w:tc>
        <w:tc>
          <w:tcPr>
            <w:tcW w:type="dxa" w:w="21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Venkatapuram</w:t>
            </w:r>
          </w:p>
        </w:tc>
        <w:tc>
          <w:tcPr>
            <w:tcW w:type="dxa" w:w="2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10 villages, 500 tribal families</w:t>
            </w:r>
          </w:p>
        </w:tc>
      </w:tr>
      <w:tr>
        <w:trPr>
          <w:cantSplit/>
        </w:trPr>
        <w:tc>
          <w:tcPr>
            <w:tcW w:type="dxa" w:w="30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TDF – Tadvai &amp; Govindaraopet (Maa Thota)</w:t>
            </w:r>
          </w:p>
        </w:tc>
        <w:tc>
          <w:tcPr>
            <w:tcW w:type="dxa" w:w="19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NABARD</w:t>
            </w:r>
          </w:p>
        </w:tc>
        <w:tc>
          <w:tcPr>
            <w:tcW w:type="dxa" w:w="21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Tadvai, Govindaraopet</w:t>
            </w:r>
          </w:p>
        </w:tc>
        <w:tc>
          <w:tcPr>
            <w:tcW w:type="dxa" w:w="26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Post-project support; PCR completed</w:t>
            </w:r>
          </w:p>
        </w:tc>
      </w:tr>
      <w:tr>
        <w:trPr>
          <w:cantSplit/>
        </w:trPr>
        <w:tc>
          <w:tcPr>
            <w:tcW w:type="dxa" w:w="3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Medaram FPO</w:t>
            </w:r>
          </w:p>
        </w:tc>
        <w:tc>
          <w:tcPr>
            <w:tcW w:type="dxa" w:w="19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NABARD (TDF)</w:t>
            </w:r>
          </w:p>
        </w:tc>
        <w:tc>
          <w:tcPr>
            <w:tcW w:type="dxa" w:w="21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Tadvai, Govindaraopet</w:t>
            </w:r>
          </w:p>
        </w:tc>
        <w:tc>
          <w:tcPr>
            <w:tcW w:type="dxa" w:w="2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14 villages, 500 members</w:t>
            </w:r>
          </w:p>
        </w:tc>
      </w:tr>
      <w:tr>
        <w:trPr>
          <w:cantSplit/>
        </w:trPr>
        <w:tc>
          <w:tcPr>
            <w:tcW w:type="dxa" w:w="30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Sammakka Sarakka FPCL</w:t>
            </w:r>
          </w:p>
        </w:tc>
        <w:tc>
          <w:tcPr>
            <w:tcW w:type="dxa" w:w="19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NABARD</w:t>
            </w:r>
          </w:p>
        </w:tc>
        <w:tc>
          <w:tcPr>
            <w:tcW w:type="dxa" w:w="21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Govindaraopet, Tadvai</w:t>
            </w:r>
          </w:p>
        </w:tc>
        <w:tc>
          <w:tcPr>
            <w:tcW w:type="dxa" w:w="26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Marketing, Gram Dukan, LEDP</w:t>
            </w:r>
          </w:p>
        </w:tc>
      </w:tr>
      <w:tr>
        <w:trPr>
          <w:cantSplit/>
        </w:trPr>
        <w:tc>
          <w:tcPr>
            <w:tcW w:type="dxa" w:w="3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LEDP – Beekeeping</w:t>
            </w:r>
          </w:p>
        </w:tc>
        <w:tc>
          <w:tcPr>
            <w:tcW w:type="dxa" w:w="19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NABARD</w:t>
            </w:r>
          </w:p>
        </w:tc>
        <w:tc>
          <w:tcPr>
            <w:tcW w:type="dxa" w:w="21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Tadvai, Govindaraopet</w:t>
            </w:r>
          </w:p>
        </w:tc>
        <w:tc>
          <w:tcPr>
            <w:tcW w:type="dxa" w:w="2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4 villages, 120 SHG women</w:t>
            </w:r>
          </w:p>
        </w:tc>
      </w:tr>
      <w:tr>
        <w:trPr>
          <w:cantSplit/>
        </w:trPr>
        <w:tc>
          <w:tcPr>
            <w:tcW w:type="dxa" w:w="30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Natural Farming Project</w:t>
            </w:r>
          </w:p>
        </w:tc>
        <w:tc>
          <w:tcPr>
            <w:tcW w:type="dxa" w:w="19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Azim Premji Foundation</w:t>
            </w:r>
          </w:p>
        </w:tc>
        <w:tc>
          <w:tcPr>
            <w:tcW w:type="dxa" w:w="21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Govindaraopet</w:t>
            </w:r>
          </w:p>
        </w:tc>
        <w:tc>
          <w:tcPr>
            <w:tcW w:type="dxa" w:w="26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5 villages, 4 Gram Panchayats</w:t>
            </w:r>
          </w:p>
        </w:tc>
      </w:tr>
      <w:tr>
        <w:trPr>
          <w:cantSplit/>
        </w:trPr>
        <w:tc>
          <w:tcPr>
            <w:tcW w:type="dxa" w:w="3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Skill Development Programme</w:t>
            </w:r>
          </w:p>
        </w:tc>
        <w:tc>
          <w:tcPr>
            <w:tcW w:type="dxa" w:w="19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CRPF 39th Battalion</w:t>
            </w:r>
          </w:p>
        </w:tc>
        <w:tc>
          <w:tcPr>
            <w:tcW w:type="dxa" w:w="21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Venkatapuram, Wazedu</w:t>
            </w:r>
          </w:p>
        </w:tc>
        <w:tc>
          <w:tcPr>
            <w:tcW w:type="dxa" w:w="2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125 youth and women</w:t>
            </w:r>
          </w:p>
        </w:tc>
      </w:tr>
    </w:tbl>
    <w:p>
      <w:pPr>
        <w:spacing w:after="140"/>
      </w:pPr>
    </w:p>
    <w:p>
      <w:pPr>
        <w:keepNext/>
        <w:spacing w:after="80" w:before="120"/>
      </w:pPr>
      <w:r>
        <w:rPr>
          <w:rFonts w:ascii="Calibri" w:cs="Calibri" w:eastAsia="Calibri" w:hAnsi="Calibri"/>
          <w:b/>
          <w:bCs/>
          <w:color w:val="14502A"/>
          <w:sz w:val="22"/>
          <w:szCs w:val="22"/>
        </w:rPr>
        <w:t xml:space="preserve">Organisation Structure of Vanasamakhya</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5638"/>
        <w:gridCol w:w="4000"/>
      </w:tblGrid>
      <w:tr>
        <w:trPr>
          <w:cantSplit/>
        </w:trPr>
        <w:tc>
          <w:tcPr>
            <w:tcW w:type="dxa" w:w="5638"/>
            <w:tcBorders>
              <w:top w:val="none" w:color="FFFFFF" w:sz="0"/>
              <w:left w:val="none" w:color="FFFFFF" w:sz="0"/>
              <w:bottom w:val="none" w:color="FFFFFF" w:sz="0"/>
              <w:right w:val="none" w:color="FFFFFF" w:sz="0"/>
            </w:tcBorders>
            <w:tcMar>
              <w:right w:type="dxa" w:w="200"/>
            </w:tcMar>
            <w:vAlign w:val="center"/>
          </w:tcPr>
          <w:p>
            <w:pPr>
              <w:spacing w:after="120" w:line="276"/>
              <w:jc w:val="both"/>
            </w:pPr>
            <w:r>
              <w:rPr>
                <w:rFonts w:ascii="Calibri" w:cs="Calibri" w:eastAsia="Calibri" w:hAnsi="Calibri"/>
              </w:rPr>
              <w:t xml:space="preserve">Vanasamakhya is a three-tier federation of community forest institutions. Representation is built from the village upwards, and women’s participation is mandatory at every level.</w:t>
            </w:r>
          </w:p>
          <w:p>
            <w:pPr>
              <w:pStyle w:val="ListParagraph"/>
              <w:numPr>
                <w:ilvl w:val="0"/>
                <w:numId w:val="2"/>
              </w:numPr>
              <w:spacing w:after="80" w:line="264"/>
              <w:jc w:val="both"/>
            </w:pPr>
            <w:r>
              <w:rPr>
                <w:rFonts w:ascii="Calibri" w:cs="Calibri" w:eastAsia="Calibri" w:hAnsi="Calibri"/>
                <w:b/>
                <w:bCs/>
              </w:rPr>
              <w:t xml:space="preserve">Vana Samrakshana Samithi (VSS):</w:t>
            </w:r>
            <w:r>
              <w:rPr>
                <w:rFonts w:ascii="Calibri" w:cs="Calibri" w:eastAsia="Calibri" w:hAnsi="Calibri"/>
              </w:rPr>
              <w:t xml:space="preserve"> village-level forest committees, the foundation of the federation.</w:t>
            </w:r>
          </w:p>
          <w:p>
            <w:pPr>
              <w:pStyle w:val="ListParagraph"/>
              <w:numPr>
                <w:ilvl w:val="0"/>
                <w:numId w:val="2"/>
              </w:numPr>
              <w:spacing w:after="80" w:line="264"/>
              <w:jc w:val="both"/>
            </w:pPr>
            <w:r>
              <w:rPr>
                <w:rFonts w:ascii="Calibri" w:cs="Calibri" w:eastAsia="Calibri" w:hAnsi="Calibri"/>
                <w:b/>
                <w:bCs/>
              </w:rPr>
              <w:t xml:space="preserve">Local Vanasamakhya:</w:t>
            </w:r>
            <w:r>
              <w:rPr>
                <w:rFonts w:ascii="Calibri" w:cs="Calibri" w:eastAsia="Calibri" w:hAnsi="Calibri"/>
              </w:rPr>
              <w:t xml:space="preserve"> formed at range, beat or section level by 5–20 VSSs; each VSS sends two representatives (one woman and one man).</w:t>
            </w:r>
          </w:p>
          <w:p>
            <w:pPr>
              <w:pStyle w:val="ListParagraph"/>
              <w:numPr>
                <w:ilvl w:val="0"/>
                <w:numId w:val="2"/>
              </w:numPr>
              <w:spacing w:after="80" w:line="264"/>
              <w:jc w:val="both"/>
            </w:pPr>
            <w:r>
              <w:rPr>
                <w:rFonts w:ascii="Calibri" w:cs="Calibri" w:eastAsia="Calibri" w:hAnsi="Calibri"/>
                <w:b/>
                <w:bCs/>
              </w:rPr>
              <w:t xml:space="preserve">State-level General Body:</w:t>
            </w:r>
            <w:r>
              <w:rPr>
                <w:rFonts w:ascii="Calibri" w:cs="Calibri" w:eastAsia="Calibri" w:hAnsi="Calibri"/>
              </w:rPr>
              <w:t xml:space="preserve"> two representatives from each local Vanasamakhya.</w:t>
            </w:r>
          </w:p>
          <w:p>
            <w:pPr>
              <w:pStyle w:val="ListParagraph"/>
              <w:numPr>
                <w:ilvl w:val="0"/>
                <w:numId w:val="2"/>
              </w:numPr>
              <w:spacing w:after="80" w:line="264"/>
              <w:jc w:val="both"/>
            </w:pPr>
            <w:r>
              <w:rPr>
                <w:rFonts w:ascii="Calibri" w:cs="Calibri" w:eastAsia="Calibri" w:hAnsi="Calibri"/>
                <w:b/>
                <w:bCs/>
              </w:rPr>
              <w:t xml:space="preserve">Executive Committee:</w:t>
            </w:r>
            <w:r>
              <w:rPr>
                <w:rFonts w:ascii="Calibri" w:cs="Calibri" w:eastAsia="Calibri" w:hAnsi="Calibri"/>
              </w:rPr>
              <w:t xml:space="preserve"> nine members elected from the General Body, responsible for governance and oversight.</w:t>
            </w:r>
          </w:p>
        </w:tc>
        <w:tc>
          <w:tcPr>
            <w:tcW w:type="dxa" w:w="4000"/>
            <w:tcBorders>
              <w:top w:val="none" w:color="FFFFFF" w:sz="0"/>
              <w:left w:val="none" w:color="FFFFFF" w:sz="0"/>
              <w:bottom w:val="none" w:color="FFFFFF" w:sz="0"/>
              <w:right w:val="none" w:color="FFFFFF" w:sz="0"/>
            </w:tcBorders>
            <w:vAlign w:val="center"/>
          </w:tcPr>
          <w:p>
            <w:pPr>
              <w:jc w:val="center"/>
            </w:pPr>
            <w:r>
              <w:drawing>
                <wp:inline distT="0" distB="0" distL="0" distR="0">
                  <wp:extent cx="2190750" cy="3133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190750" cy="3133725"/>
                          </a:xfrm>
                          <a:prstGeom prst="rect">
                            <a:avLst/>
                          </a:prstGeom>
                        </pic:spPr>
                      </pic:pic>
                    </a:graphicData>
                  </a:graphic>
                </wp:inline>
              </w:drawing>
            </w:r>
          </w:p>
          <w:p>
            <w:pPr>
              <w:spacing w:after="120" w:before="40"/>
              <w:jc w:val="center"/>
            </w:pPr>
            <w:r>
              <w:rPr>
                <w:rFonts w:ascii="Calibri" w:cs="Calibri" w:eastAsia="Calibri" w:hAnsi="Calibri"/>
                <w:i/>
                <w:iCs/>
                <w:color w:val="595959"/>
                <w:sz w:val="18"/>
                <w:szCs w:val="18"/>
              </w:rPr>
              <w:t xml:space="preserve">Figure 1: Structure of Vanasamakhya</w:t>
            </w:r>
          </w:p>
        </w:tc>
      </w:tr>
    </w:tbl>
    <w:p>
      <w:pPr>
        <w:spacing w:after="120"/>
      </w:pPr>
    </w:p>
    <w:p>
      <w:pPr>
        <w:pStyle w:val="Heading1"/>
        <w:keepNext/>
      </w:pPr>
      <w:r>
        <w:rPr>
          <w:rFonts w:ascii="Calibri" w:cs="Calibri" w:eastAsia="Calibri" w:hAnsi="Calibri"/>
        </w:rPr>
        <w:t xml:space="preserve">6. Key Achievements (2025–26)</w:t>
      </w:r>
    </w:p>
    <w:p>
      <w:pPr>
        <w:pStyle w:val="Heading2"/>
        <w:keepNext/>
      </w:pPr>
      <w:r>
        <w:rPr>
          <w:rFonts w:ascii="Calibri" w:cs="Calibri" w:eastAsia="Calibri" w:hAnsi="Calibri"/>
        </w:rPr>
        <w:t xml:space="preserve">6.1 Tribal Development Fund (TDF) – Venkatapuram Project</w:t>
      </w:r>
    </w:p>
    <w:p>
      <w:pPr>
        <w:spacing w:after="120" w:line="276"/>
        <w:jc w:val="both"/>
      </w:pPr>
      <w:r>
        <w:rPr>
          <w:rFonts w:ascii="Calibri" w:cs="Calibri" w:eastAsia="Calibri" w:hAnsi="Calibri"/>
        </w:rPr>
        <w:t xml:space="preserve">The TDF–Venkatapuram project is being implemented by Vanasamakhya as PIA through the Venkatapuram Mandal Maa Thota Development Committee. The project supports </w:t>
      </w:r>
      <w:r>
        <w:rPr>
          <w:rFonts w:ascii="Calibri" w:cs="Calibri" w:eastAsia="Calibri" w:hAnsi="Calibri"/>
          <w:b/>
          <w:bCs/>
        </w:rPr>
        <w:t xml:space="preserve">500 tribal families</w:t>
      </w:r>
      <w:r>
        <w:rPr>
          <w:rFonts w:ascii="Calibri" w:cs="Calibri" w:eastAsia="Calibri" w:hAnsi="Calibri"/>
        </w:rPr>
        <w:t xml:space="preserve"> in 10 villages – </w:t>
      </w:r>
      <w:r>
        <w:rPr>
          <w:rFonts w:ascii="Calibri" w:cs="Calibri" w:eastAsia="Calibri" w:hAnsi="Calibri"/>
          <w:b/>
          <w:bCs/>
        </w:rPr>
        <w:t xml:space="preserve">450 families through Wadi (orchard) development</w:t>
      </w:r>
      <w:r>
        <w:rPr>
          <w:rFonts w:ascii="Calibri" w:cs="Calibri" w:eastAsia="Calibri" w:hAnsi="Calibri"/>
        </w:rPr>
        <w:t xml:space="preserve"> and </w:t>
      </w:r>
      <w:r>
        <w:rPr>
          <w:rFonts w:ascii="Calibri" w:cs="Calibri" w:eastAsia="Calibri" w:hAnsi="Calibri"/>
          <w:b/>
          <w:bCs/>
        </w:rPr>
        <w:t xml:space="preserve">50 families through livelihood units</w:t>
      </w:r>
      <w:r>
        <w:rPr>
          <w:rFonts w:ascii="Calibri" w:cs="Calibri" w:eastAsia="Calibri" w:hAnsi="Calibri"/>
        </w:rPr>
        <w:t xml:space="preserve">.</w:t>
      </w:r>
    </w:p>
    <w:p>
      <w:pPr>
        <w:pStyle w:val="Heading3"/>
        <w:keepNext/>
      </w:pPr>
      <w:r>
        <w:rPr>
          <w:rFonts w:ascii="Calibri" w:cs="Calibri" w:eastAsia="Calibri" w:hAnsi="Calibri"/>
        </w:rPr>
        <w:t xml:space="preserve">6.1.1 Wadi Development – Progress</w:t>
      </w:r>
    </w:p>
    <w:p>
      <w:pPr>
        <w:spacing w:after="120" w:line="276"/>
        <w:jc w:val="both"/>
      </w:pPr>
      <w:r>
        <w:rPr>
          <w:rFonts w:ascii="Calibri" w:cs="Calibri" w:eastAsia="Calibri" w:hAnsi="Calibri"/>
        </w:rPr>
        <w:t xml:space="preserve">A total of </w:t>
      </w:r>
      <w:r>
        <w:rPr>
          <w:rFonts w:ascii="Calibri" w:cs="Calibri" w:eastAsia="Calibri" w:hAnsi="Calibri"/>
          <w:b/>
          <w:bCs/>
        </w:rPr>
        <w:t xml:space="preserve">450 Wadis</w:t>
      </w:r>
      <w:r>
        <w:rPr>
          <w:rFonts w:ascii="Calibri" w:cs="Calibri" w:eastAsia="Calibri" w:hAnsi="Calibri"/>
        </w:rPr>
        <w:t xml:space="preserve"> were sanctioned under the project. In the first year (2024–25), 250 Wadis were sanctioned, of which plantation and related activities were completed in 181 Wadis. In the second year (2025–26), a further 200 Wadis were sanctioned; together with the pending Wadis of Year 1, </w:t>
      </w:r>
      <w:r>
        <w:rPr>
          <w:rFonts w:ascii="Calibri" w:cs="Calibri" w:eastAsia="Calibri" w:hAnsi="Calibri"/>
          <w:b/>
          <w:bCs/>
        </w:rPr>
        <w:t xml:space="preserve">269 Wadis</w:t>
      </w:r>
      <w:r>
        <w:rPr>
          <w:rFonts w:ascii="Calibri" w:cs="Calibri" w:eastAsia="Calibri" w:hAnsi="Calibri"/>
        </w:rPr>
        <w:t xml:space="preserve"> were taken up for implementation, and activities were completed in </w:t>
      </w:r>
      <w:r>
        <w:rPr>
          <w:rFonts w:ascii="Calibri" w:cs="Calibri" w:eastAsia="Calibri" w:hAnsi="Calibri"/>
          <w:b/>
          <w:bCs/>
        </w:rPr>
        <w:t xml:space="preserve">145 Wadis</w:t>
      </w:r>
      <w:r>
        <w:rPr>
          <w:rFonts w:ascii="Calibri" w:cs="Calibri" w:eastAsia="Calibri" w:hAnsi="Calibri"/>
        </w:rPr>
        <w:t xml:space="preserve">. Thus, by 31 March 2026, plantation with intercropping had been successfully completed in </w:t>
      </w:r>
      <w:r>
        <w:rPr>
          <w:rFonts w:ascii="Calibri" w:cs="Calibri" w:eastAsia="Calibri" w:hAnsi="Calibri"/>
          <w:b/>
          <w:bCs/>
        </w:rPr>
        <w:t xml:space="preserve">326 Wadis</w:t>
      </w:r>
      <w:r>
        <w:rPr>
          <w:rFonts w:ascii="Calibri" w:cs="Calibri" w:eastAsia="Calibri" w:hAnsi="Calibri"/>
        </w:rPr>
        <w:t xml:space="preserve">.</w:t>
      </w:r>
    </w:p>
    <w:p>
      <w:pPr>
        <w:spacing w:after="120" w:line="276"/>
        <w:jc w:val="both"/>
      </w:pPr>
      <w:r>
        <w:rPr>
          <w:rFonts w:ascii="Calibri" w:cs="Calibri" w:eastAsia="Calibri" w:hAnsi="Calibri"/>
        </w:rPr>
        <w:t xml:space="preserve">During the current year (2026–27), plantation has been completed in a further 50 Wadis (43 in Nuguru and 7 in Thippapuram), including border plantation, taking the cumulative total to </w:t>
      </w:r>
      <w:r>
        <w:rPr>
          <w:rFonts w:ascii="Calibri" w:cs="Calibri" w:eastAsia="Calibri" w:hAnsi="Calibri"/>
          <w:b/>
          <w:bCs/>
        </w:rPr>
        <w:t xml:space="preserve">376 Wadis</w:t>
      </w:r>
      <w:r>
        <w:rPr>
          <w:rFonts w:ascii="Calibri" w:cs="Calibri" w:eastAsia="Calibri" w:hAnsi="Calibri"/>
        </w:rPr>
        <w:t xml:space="preserve">. Layout marking is in progress for the remaining </w:t>
      </w:r>
      <w:r>
        <w:rPr>
          <w:rFonts w:ascii="Calibri" w:cs="Calibri" w:eastAsia="Calibri" w:hAnsi="Calibri"/>
          <w:b/>
          <w:bCs/>
        </w:rPr>
        <w:t xml:space="preserve">74 Wadis</w:t>
      </w:r>
      <w:r>
        <w:rPr>
          <w:rFonts w:ascii="Calibri" w:cs="Calibri" w:eastAsia="Calibri" w:hAnsi="Calibri"/>
        </w:rPr>
        <w:t xml:space="preserve">, which the PIA plans to complete by the end of October 2026, subject to suitable field conditions and water availability.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38"/>
        <w:gridCol w:w="1600"/>
        <w:gridCol w:w="1600"/>
        <w:gridCol w:w="1600"/>
        <w:gridCol w:w="1600"/>
      </w:tblGrid>
      <w:tr>
        <w:trPr>
          <w:cantSplit/>
          <w:tblHeader/>
        </w:trPr>
        <w:tc>
          <w:tcPr>
            <w:tcW w:type="dxa" w:w="3238"/>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Phase</w:t>
            </w:r>
          </w:p>
        </w:tc>
        <w:tc>
          <w:tcPr>
            <w:tcW w:type="dxa" w:w="16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9"/>
                <w:szCs w:val="19"/>
              </w:rPr>
              <w:t xml:space="preserve">Sanctioned</w:t>
            </w:r>
          </w:p>
        </w:tc>
        <w:tc>
          <w:tcPr>
            <w:tcW w:type="dxa" w:w="16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9"/>
                <w:szCs w:val="19"/>
              </w:rPr>
              <w:t xml:space="preserve">Taken up</w:t>
            </w:r>
          </w:p>
        </w:tc>
        <w:tc>
          <w:tcPr>
            <w:tcW w:type="dxa" w:w="16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9"/>
                <w:szCs w:val="19"/>
              </w:rPr>
              <w:t xml:space="preserve">Completed</w:t>
            </w:r>
          </w:p>
        </w:tc>
        <w:tc>
          <w:tcPr>
            <w:tcW w:type="dxa" w:w="16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9"/>
                <w:szCs w:val="19"/>
              </w:rPr>
              <w:t xml:space="preserve">Cumulative</w:t>
            </w:r>
          </w:p>
        </w:tc>
      </w:tr>
      <w:tr>
        <w:trPr>
          <w:cantSplit/>
        </w:trPr>
        <w:tc>
          <w:tcPr>
            <w:tcW w:type="dxa" w:w="32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Year 1 (2024–25)</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center"/>
            </w:pPr>
            <w:r>
              <w:rPr>
                <w:rFonts w:ascii="Calibri" w:cs="Calibri" w:eastAsia="Calibri" w:hAnsi="Calibri"/>
                <w:b w:val="false"/>
                <w:bCs w:val="false"/>
                <w:sz w:val="19"/>
                <w:szCs w:val="19"/>
              </w:rPr>
              <w:t xml:space="preserve">250</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center"/>
            </w:pPr>
            <w:r>
              <w:rPr>
                <w:rFonts w:ascii="Calibri" w:cs="Calibri" w:eastAsia="Calibri" w:hAnsi="Calibri"/>
                <w:b w:val="false"/>
                <w:bCs w:val="false"/>
                <w:sz w:val="19"/>
                <w:szCs w:val="19"/>
              </w:rPr>
              <w:t xml:space="preserve">250</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center"/>
            </w:pPr>
            <w:r>
              <w:rPr>
                <w:rFonts w:ascii="Calibri" w:cs="Calibri" w:eastAsia="Calibri" w:hAnsi="Calibri"/>
                <w:b w:val="false"/>
                <w:bCs w:val="false"/>
                <w:sz w:val="19"/>
                <w:szCs w:val="19"/>
              </w:rPr>
              <w:t xml:space="preserve">181</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center"/>
            </w:pPr>
            <w:r>
              <w:rPr>
                <w:rFonts w:ascii="Calibri" w:cs="Calibri" w:eastAsia="Calibri" w:hAnsi="Calibri"/>
                <w:b w:val="false"/>
                <w:bCs w:val="false"/>
                <w:sz w:val="19"/>
                <w:szCs w:val="19"/>
              </w:rPr>
              <w:t xml:space="preserve">181</w:t>
            </w:r>
          </w:p>
        </w:tc>
      </w:tr>
      <w:tr>
        <w:trPr>
          <w:cantSplit/>
        </w:trPr>
        <w:tc>
          <w:tcPr>
            <w:tcW w:type="dxa" w:w="32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Year 2 (2025–26)</w:t>
            </w:r>
          </w:p>
        </w:tc>
        <w:tc>
          <w:tcPr>
            <w:tcW w:type="dxa" w:w="16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200</w:t>
            </w:r>
          </w:p>
        </w:tc>
        <w:tc>
          <w:tcPr>
            <w:tcW w:type="dxa" w:w="16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269</w:t>
            </w:r>
          </w:p>
        </w:tc>
        <w:tc>
          <w:tcPr>
            <w:tcW w:type="dxa" w:w="16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145</w:t>
            </w:r>
          </w:p>
        </w:tc>
        <w:tc>
          <w:tcPr>
            <w:tcW w:type="dxa" w:w="16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326</w:t>
            </w:r>
          </w:p>
        </w:tc>
      </w:tr>
      <w:tr>
        <w:trPr>
          <w:cantSplit/>
        </w:trPr>
        <w:tc>
          <w:tcPr>
            <w:tcW w:type="dxa" w:w="32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Year 3 (2026–27, to date)</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124</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50</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376</w:t>
            </w:r>
          </w:p>
        </w:tc>
      </w:tr>
      <w:tr>
        <w:trPr>
          <w:cantSplit/>
        </w:trPr>
        <w:tc>
          <w:tcPr>
            <w:tcW w:type="dxa" w:w="3238"/>
            <w:tcBorders>
              <w:top w:val="single" w:color="A6A6A6" w:sz="4"/>
              <w:left w:val="single" w:color="A6A6A6" w:sz="4"/>
              <w:bottom w:val="single" w:color="A6A6A6" w:sz="4"/>
              <w:right w:val="single" w:color="A6A6A6" w:sz="4"/>
            </w:tcBorders>
            <w:shd w:fill="F2F2F2"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bCs/>
                <w:sz w:val="19"/>
                <w:szCs w:val="19"/>
              </w:rPr>
              <w:t xml:space="preserve">Balance to be completed</w:t>
            </w:r>
          </w:p>
        </w:tc>
        <w:tc>
          <w:tcPr>
            <w:tcW w:type="dxa" w:w="1600"/>
            <w:tcBorders>
              <w:top w:val="single" w:color="A6A6A6" w:sz="4"/>
              <w:left w:val="single" w:color="A6A6A6" w:sz="4"/>
              <w:bottom w:val="single" w:color="A6A6A6" w:sz="4"/>
              <w:right w:val="single" w:color="A6A6A6" w:sz="4"/>
            </w:tcBorders>
            <w:shd w:fill="F2F2F2" w:color="auto" w:val="clear"/>
            <w:tcMar>
              <w:top w:type="dxa" w:w="60"/>
              <w:left w:type="dxa" w:w="100"/>
              <w:bottom w:type="dxa" w:w="60"/>
              <w:right w:type="dxa" w:w="100"/>
            </w:tcMar>
            <w:vAlign w:val="center"/>
          </w:tcPr>
          <w:p>
            <w:pPr>
              <w:keepNext w:val="false"/>
              <w:spacing w:after="0" w:line="252"/>
              <w:jc w:val="center"/>
            </w:pPr>
          </w:p>
        </w:tc>
        <w:tc>
          <w:tcPr>
            <w:tcW w:type="dxa" w:w="1600"/>
            <w:tcBorders>
              <w:top w:val="single" w:color="A6A6A6" w:sz="4"/>
              <w:left w:val="single" w:color="A6A6A6" w:sz="4"/>
              <w:bottom w:val="single" w:color="A6A6A6" w:sz="4"/>
              <w:right w:val="single" w:color="A6A6A6" w:sz="4"/>
            </w:tcBorders>
            <w:shd w:fill="F2F2F2" w:color="auto" w:val="clear"/>
            <w:tcMar>
              <w:top w:type="dxa" w:w="60"/>
              <w:left w:type="dxa" w:w="100"/>
              <w:bottom w:type="dxa" w:w="60"/>
              <w:right w:type="dxa" w:w="100"/>
            </w:tcMar>
            <w:vAlign w:val="center"/>
          </w:tcPr>
          <w:p>
            <w:pPr>
              <w:keepNext w:val="false"/>
              <w:spacing w:after="0" w:line="252"/>
              <w:jc w:val="center"/>
            </w:pPr>
          </w:p>
        </w:tc>
        <w:tc>
          <w:tcPr>
            <w:tcW w:type="dxa" w:w="1600"/>
            <w:tcBorders>
              <w:top w:val="single" w:color="A6A6A6" w:sz="4"/>
              <w:left w:val="single" w:color="A6A6A6" w:sz="4"/>
              <w:bottom w:val="single" w:color="A6A6A6" w:sz="4"/>
              <w:right w:val="single" w:color="A6A6A6" w:sz="4"/>
            </w:tcBorders>
            <w:shd w:fill="F2F2F2"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bCs/>
                <w:sz w:val="19"/>
                <w:szCs w:val="19"/>
              </w:rPr>
              <w:t xml:space="preserve">74</w:t>
            </w:r>
          </w:p>
        </w:tc>
        <w:tc>
          <w:tcPr>
            <w:tcW w:type="dxa" w:w="1600"/>
            <w:tcBorders>
              <w:top w:val="single" w:color="A6A6A6" w:sz="4"/>
              <w:left w:val="single" w:color="A6A6A6" w:sz="4"/>
              <w:bottom w:val="single" w:color="A6A6A6" w:sz="4"/>
              <w:right w:val="single" w:color="A6A6A6" w:sz="4"/>
            </w:tcBorders>
            <w:shd w:fill="F2F2F2"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bCs/>
                <w:sz w:val="19"/>
                <w:szCs w:val="19"/>
              </w:rPr>
              <w:t xml:space="preserve">450</w:t>
            </w:r>
          </w:p>
        </w:tc>
      </w:tr>
    </w:tbl>
    <w:p>
      <w:pPr>
        <w:spacing w:after="140"/>
      </w:pPr>
    </w:p>
    <w:p>
      <w:pPr>
        <w:keepNext/>
        <w:spacing w:after="80" w:before="120"/>
      </w:pPr>
      <w:r>
        <w:rPr>
          <w:rFonts w:ascii="Calibri" w:cs="Calibri" w:eastAsia="Calibri" w:hAnsi="Calibri"/>
          <w:b/>
          <w:bCs/>
          <w:color w:val="14502A"/>
          <w:sz w:val="22"/>
          <w:szCs w:val="22"/>
        </w:rPr>
        <w:t xml:space="preserve">Village-wise Wadi and Livelihood Status (as on March 2026)</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00"/>
        <w:gridCol w:w="1350"/>
        <w:gridCol w:w="1348"/>
        <w:gridCol w:w="805"/>
        <w:gridCol w:w="805"/>
        <w:gridCol w:w="805"/>
        <w:gridCol w:w="805"/>
        <w:gridCol w:w="805"/>
        <w:gridCol w:w="805"/>
        <w:gridCol w:w="805"/>
        <w:gridCol w:w="805"/>
      </w:tblGrid>
      <w:tr>
        <w:trPr>
          <w:cantSplit/>
          <w:tblHeader/>
        </w:trPr>
        <w:tc>
          <w:tcPr>
            <w:tcW w:type="dxa" w:w="5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7"/>
                <w:szCs w:val="17"/>
              </w:rPr>
              <w:t xml:space="preserve">S.No</w:t>
            </w:r>
          </w:p>
        </w:tc>
        <w:tc>
          <w:tcPr>
            <w:tcW w:type="dxa" w:w="135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7"/>
                <w:szCs w:val="17"/>
              </w:rPr>
              <w:t xml:space="preserve">Village</w:t>
            </w:r>
          </w:p>
        </w:tc>
        <w:tc>
          <w:tcPr>
            <w:tcW w:type="dxa" w:w="1348"/>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7"/>
                <w:szCs w:val="17"/>
              </w:rPr>
              <w:t xml:space="preserve">Gram Panchayat</w:t>
            </w:r>
          </w:p>
        </w:tc>
        <w:tc>
          <w:tcPr>
            <w:tcW w:type="dxa" w:w="805"/>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7"/>
                <w:szCs w:val="17"/>
              </w:rPr>
              <w:t xml:space="preserve">Wadi families</w:t>
            </w:r>
          </w:p>
        </w:tc>
        <w:tc>
          <w:tcPr>
            <w:tcW w:type="dxa" w:w="805"/>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7"/>
                <w:szCs w:val="17"/>
              </w:rPr>
              <w:t xml:space="preserve">Year 1</w:t>
            </w:r>
          </w:p>
        </w:tc>
        <w:tc>
          <w:tcPr>
            <w:tcW w:type="dxa" w:w="805"/>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7"/>
                <w:szCs w:val="17"/>
              </w:rPr>
              <w:t xml:space="preserve">Year 2</w:t>
            </w:r>
          </w:p>
        </w:tc>
        <w:tc>
          <w:tcPr>
            <w:tcW w:type="dxa" w:w="805"/>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7"/>
                <w:szCs w:val="17"/>
              </w:rPr>
              <w:t xml:space="preserve">Year 3*</w:t>
            </w:r>
          </w:p>
        </w:tc>
        <w:tc>
          <w:tcPr>
            <w:tcW w:type="dxa" w:w="805"/>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7"/>
                <w:szCs w:val="17"/>
              </w:rPr>
              <w:t xml:space="preserve">Total Wadis</w:t>
            </w:r>
          </w:p>
        </w:tc>
        <w:tc>
          <w:tcPr>
            <w:tcW w:type="dxa" w:w="805"/>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7"/>
                <w:szCs w:val="17"/>
              </w:rPr>
              <w:t xml:space="preserve">Balance</w:t>
            </w:r>
          </w:p>
        </w:tc>
        <w:tc>
          <w:tcPr>
            <w:tcW w:type="dxa" w:w="805"/>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7"/>
                <w:szCs w:val="17"/>
              </w:rPr>
              <w:t xml:space="preserve">LH families</w:t>
            </w:r>
          </w:p>
        </w:tc>
        <w:tc>
          <w:tcPr>
            <w:tcW w:type="dxa" w:w="805"/>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7"/>
                <w:szCs w:val="17"/>
              </w:rPr>
              <w:t xml:space="preserve">Total families</w:t>
            </w:r>
          </w:p>
        </w:tc>
      </w:tr>
      <w:tr>
        <w:trPr>
          <w:cantSplit/>
        </w:trPr>
        <w:tc>
          <w:tcPr>
            <w:tcW w:type="dxa" w:w="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center"/>
            </w:pPr>
            <w:r>
              <w:rPr>
                <w:rFonts w:ascii="Calibri" w:cs="Calibri" w:eastAsia="Calibri" w:hAnsi="Calibri"/>
                <w:b w:val="false"/>
                <w:bCs w:val="false"/>
                <w:sz w:val="17"/>
                <w:szCs w:val="17"/>
              </w:rPr>
              <w:t xml:space="preserve">1</w:t>
            </w:r>
          </w:p>
        </w:tc>
        <w:tc>
          <w:tcPr>
            <w:tcW w:type="dxa" w:w="135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7"/>
                <w:szCs w:val="17"/>
              </w:rPr>
              <w:t xml:space="preserve">Yakannagudem</w:t>
            </w:r>
          </w:p>
        </w:tc>
        <w:tc>
          <w:tcPr>
            <w:tcW w:type="dxa" w:w="134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7"/>
                <w:szCs w:val="17"/>
              </w:rPr>
              <w:t xml:space="preserve">Edira</w:t>
            </w:r>
          </w:p>
        </w:tc>
        <w:tc>
          <w:tcPr>
            <w:tcW w:type="dxa" w:w="805"/>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center"/>
            </w:pPr>
            <w:r>
              <w:rPr>
                <w:rFonts w:ascii="Calibri" w:cs="Calibri" w:eastAsia="Calibri" w:hAnsi="Calibri"/>
                <w:b w:val="false"/>
                <w:bCs w:val="false"/>
                <w:sz w:val="17"/>
                <w:szCs w:val="17"/>
              </w:rPr>
              <w:t xml:space="preserve">33</w:t>
            </w:r>
          </w:p>
        </w:tc>
        <w:tc>
          <w:tcPr>
            <w:tcW w:type="dxa" w:w="805"/>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center"/>
            </w:pPr>
            <w:r>
              <w:rPr>
                <w:rFonts w:ascii="Calibri" w:cs="Calibri" w:eastAsia="Calibri" w:hAnsi="Calibri"/>
                <w:b w:val="false"/>
                <w:bCs w:val="false"/>
                <w:sz w:val="17"/>
                <w:szCs w:val="17"/>
              </w:rPr>
              <w:t xml:space="preserve">30</w:t>
            </w:r>
          </w:p>
        </w:tc>
        <w:tc>
          <w:tcPr>
            <w:tcW w:type="dxa" w:w="805"/>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center"/>
            </w:pPr>
            <w:r>
              <w:rPr>
                <w:rFonts w:ascii="Calibri" w:cs="Calibri" w:eastAsia="Calibri" w:hAnsi="Calibri"/>
                <w:b w:val="false"/>
                <w:bCs w:val="false"/>
                <w:sz w:val="17"/>
                <w:szCs w:val="17"/>
              </w:rPr>
              <w:t xml:space="preserve">3</w:t>
            </w:r>
          </w:p>
        </w:tc>
        <w:tc>
          <w:tcPr>
            <w:tcW w:type="dxa" w:w="805"/>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center"/>
            </w:pPr>
            <w:r>
              <w:rPr>
                <w:rFonts w:ascii="Calibri" w:cs="Calibri" w:eastAsia="Calibri" w:hAnsi="Calibri"/>
                <w:b w:val="false"/>
                <w:bCs w:val="false"/>
                <w:sz w:val="17"/>
                <w:szCs w:val="17"/>
              </w:rPr>
              <w:t xml:space="preserve">–</w:t>
            </w:r>
          </w:p>
        </w:tc>
        <w:tc>
          <w:tcPr>
            <w:tcW w:type="dxa" w:w="805"/>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center"/>
            </w:pPr>
            <w:r>
              <w:rPr>
                <w:rFonts w:ascii="Calibri" w:cs="Calibri" w:eastAsia="Calibri" w:hAnsi="Calibri"/>
                <w:b w:val="false"/>
                <w:bCs w:val="false"/>
                <w:sz w:val="17"/>
                <w:szCs w:val="17"/>
              </w:rPr>
              <w:t xml:space="preserve">33</w:t>
            </w:r>
          </w:p>
        </w:tc>
        <w:tc>
          <w:tcPr>
            <w:tcW w:type="dxa" w:w="805"/>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center"/>
            </w:pPr>
            <w:r>
              <w:rPr>
                <w:rFonts w:ascii="Calibri" w:cs="Calibri" w:eastAsia="Calibri" w:hAnsi="Calibri"/>
                <w:b w:val="false"/>
                <w:bCs w:val="false"/>
                <w:sz w:val="17"/>
                <w:szCs w:val="17"/>
              </w:rPr>
              <w:t xml:space="preserve">0</w:t>
            </w:r>
          </w:p>
        </w:tc>
        <w:tc>
          <w:tcPr>
            <w:tcW w:type="dxa" w:w="805"/>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center"/>
            </w:pPr>
            <w:r>
              <w:rPr>
                <w:rFonts w:ascii="Calibri" w:cs="Calibri" w:eastAsia="Calibri" w:hAnsi="Calibri"/>
                <w:b w:val="false"/>
                <w:bCs w:val="false"/>
                <w:sz w:val="17"/>
                <w:szCs w:val="17"/>
              </w:rPr>
              <w:t xml:space="preserve">5</w:t>
            </w:r>
          </w:p>
        </w:tc>
        <w:tc>
          <w:tcPr>
            <w:tcW w:type="dxa" w:w="805"/>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center"/>
            </w:pPr>
            <w:r>
              <w:rPr>
                <w:rFonts w:ascii="Calibri" w:cs="Calibri" w:eastAsia="Calibri" w:hAnsi="Calibri"/>
                <w:b w:val="false"/>
                <w:bCs w:val="false"/>
                <w:sz w:val="17"/>
                <w:szCs w:val="17"/>
              </w:rPr>
              <w:t xml:space="preserve">38</w:t>
            </w:r>
          </w:p>
        </w:tc>
      </w:tr>
      <w:tr>
        <w:trPr>
          <w:cantSplit/>
        </w:trPr>
        <w:tc>
          <w:tcPr>
            <w:tcW w:type="dxa" w:w="5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2</w:t>
            </w:r>
          </w:p>
        </w:tc>
        <w:tc>
          <w:tcPr>
            <w:tcW w:type="dxa" w:w="135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7"/>
                <w:szCs w:val="17"/>
              </w:rPr>
              <w:t xml:space="preserve">Suraveedu</w:t>
            </w:r>
          </w:p>
        </w:tc>
        <w:tc>
          <w:tcPr>
            <w:tcW w:type="dxa" w:w="134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7"/>
                <w:szCs w:val="17"/>
              </w:rPr>
              <w:t xml:space="preserve">Suraveedu</w:t>
            </w:r>
          </w:p>
        </w:tc>
        <w:tc>
          <w:tcPr>
            <w:tcW w:type="dxa" w:w="805"/>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9</w:t>
            </w:r>
          </w:p>
        </w:tc>
        <w:tc>
          <w:tcPr>
            <w:tcW w:type="dxa" w:w="805"/>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0</w:t>
            </w:r>
          </w:p>
        </w:tc>
        <w:tc>
          <w:tcPr>
            <w:tcW w:type="dxa" w:w="805"/>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4</w:t>
            </w:r>
          </w:p>
        </w:tc>
        <w:tc>
          <w:tcPr>
            <w:tcW w:type="dxa" w:w="805"/>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w:t>
            </w:r>
          </w:p>
        </w:tc>
        <w:tc>
          <w:tcPr>
            <w:tcW w:type="dxa" w:w="805"/>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4</w:t>
            </w:r>
          </w:p>
        </w:tc>
        <w:tc>
          <w:tcPr>
            <w:tcW w:type="dxa" w:w="805"/>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5</w:t>
            </w:r>
          </w:p>
        </w:tc>
        <w:tc>
          <w:tcPr>
            <w:tcW w:type="dxa" w:w="805"/>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2</w:t>
            </w:r>
          </w:p>
        </w:tc>
        <w:tc>
          <w:tcPr>
            <w:tcW w:type="dxa" w:w="805"/>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11</w:t>
            </w:r>
          </w:p>
        </w:tc>
      </w:tr>
      <w:tr>
        <w:trPr>
          <w:cantSplit/>
        </w:trPr>
        <w:tc>
          <w:tcPr>
            <w:tcW w:type="dxa" w:w="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3</w:t>
            </w:r>
          </w:p>
        </w:tc>
        <w:tc>
          <w:tcPr>
            <w:tcW w:type="dxa" w:w="135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7"/>
                <w:szCs w:val="17"/>
              </w:rPr>
              <w:t xml:space="preserve">Sri Rangapur</w:t>
            </w:r>
          </w:p>
        </w:tc>
        <w:tc>
          <w:tcPr>
            <w:tcW w:type="dxa" w:w="134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7"/>
                <w:szCs w:val="17"/>
              </w:rPr>
              <w:t xml:space="preserve">Suraveedu</w:t>
            </w:r>
          </w:p>
        </w:tc>
        <w:tc>
          <w:tcPr>
            <w:tcW w:type="dxa" w:w="805"/>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16</w:t>
            </w:r>
          </w:p>
        </w:tc>
        <w:tc>
          <w:tcPr>
            <w:tcW w:type="dxa" w:w="805"/>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16</w:t>
            </w:r>
          </w:p>
        </w:tc>
        <w:tc>
          <w:tcPr>
            <w:tcW w:type="dxa" w:w="805"/>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0</w:t>
            </w:r>
          </w:p>
        </w:tc>
        <w:tc>
          <w:tcPr>
            <w:tcW w:type="dxa" w:w="805"/>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w:t>
            </w:r>
          </w:p>
        </w:tc>
        <w:tc>
          <w:tcPr>
            <w:tcW w:type="dxa" w:w="805"/>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16</w:t>
            </w:r>
          </w:p>
        </w:tc>
        <w:tc>
          <w:tcPr>
            <w:tcW w:type="dxa" w:w="805"/>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0</w:t>
            </w:r>
          </w:p>
        </w:tc>
        <w:tc>
          <w:tcPr>
            <w:tcW w:type="dxa" w:w="805"/>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2</w:t>
            </w:r>
          </w:p>
        </w:tc>
        <w:tc>
          <w:tcPr>
            <w:tcW w:type="dxa" w:w="805"/>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18</w:t>
            </w:r>
          </w:p>
        </w:tc>
      </w:tr>
      <w:tr>
        <w:trPr>
          <w:cantSplit/>
        </w:trPr>
        <w:tc>
          <w:tcPr>
            <w:tcW w:type="dxa" w:w="5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4</w:t>
            </w:r>
          </w:p>
        </w:tc>
        <w:tc>
          <w:tcPr>
            <w:tcW w:type="dxa" w:w="135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7"/>
                <w:szCs w:val="17"/>
              </w:rPr>
              <w:t xml:space="preserve">K. Kondapur</w:t>
            </w:r>
          </w:p>
        </w:tc>
        <w:tc>
          <w:tcPr>
            <w:tcW w:type="dxa" w:w="134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7"/>
                <w:szCs w:val="17"/>
              </w:rPr>
              <w:t xml:space="preserve">Suraveedu</w:t>
            </w:r>
          </w:p>
        </w:tc>
        <w:tc>
          <w:tcPr>
            <w:tcW w:type="dxa" w:w="805"/>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58</w:t>
            </w:r>
          </w:p>
        </w:tc>
        <w:tc>
          <w:tcPr>
            <w:tcW w:type="dxa" w:w="805"/>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0</w:t>
            </w:r>
          </w:p>
        </w:tc>
        <w:tc>
          <w:tcPr>
            <w:tcW w:type="dxa" w:w="805"/>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49</w:t>
            </w:r>
          </w:p>
        </w:tc>
        <w:tc>
          <w:tcPr>
            <w:tcW w:type="dxa" w:w="805"/>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w:t>
            </w:r>
          </w:p>
        </w:tc>
        <w:tc>
          <w:tcPr>
            <w:tcW w:type="dxa" w:w="805"/>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49</w:t>
            </w:r>
          </w:p>
        </w:tc>
        <w:tc>
          <w:tcPr>
            <w:tcW w:type="dxa" w:w="805"/>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9</w:t>
            </w:r>
          </w:p>
        </w:tc>
        <w:tc>
          <w:tcPr>
            <w:tcW w:type="dxa" w:w="805"/>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4</w:t>
            </w:r>
          </w:p>
        </w:tc>
        <w:tc>
          <w:tcPr>
            <w:tcW w:type="dxa" w:w="805"/>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62</w:t>
            </w:r>
          </w:p>
        </w:tc>
      </w:tr>
      <w:tr>
        <w:trPr>
          <w:cantSplit/>
        </w:trPr>
        <w:tc>
          <w:tcPr>
            <w:tcW w:type="dxa" w:w="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5</w:t>
            </w:r>
          </w:p>
        </w:tc>
        <w:tc>
          <w:tcPr>
            <w:tcW w:type="dxa" w:w="135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7"/>
                <w:szCs w:val="17"/>
              </w:rPr>
              <w:t xml:space="preserve">Thippapuram</w:t>
            </w:r>
          </w:p>
        </w:tc>
        <w:tc>
          <w:tcPr>
            <w:tcW w:type="dxa" w:w="134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7"/>
                <w:szCs w:val="17"/>
              </w:rPr>
              <w:t xml:space="preserve">Thippapuram</w:t>
            </w:r>
          </w:p>
        </w:tc>
        <w:tc>
          <w:tcPr>
            <w:tcW w:type="dxa" w:w="805"/>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110</w:t>
            </w:r>
          </w:p>
        </w:tc>
        <w:tc>
          <w:tcPr>
            <w:tcW w:type="dxa" w:w="805"/>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68</w:t>
            </w:r>
          </w:p>
        </w:tc>
        <w:tc>
          <w:tcPr>
            <w:tcW w:type="dxa" w:w="805"/>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26</w:t>
            </w:r>
          </w:p>
        </w:tc>
        <w:tc>
          <w:tcPr>
            <w:tcW w:type="dxa" w:w="805"/>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7</w:t>
            </w:r>
          </w:p>
        </w:tc>
        <w:tc>
          <w:tcPr>
            <w:tcW w:type="dxa" w:w="805"/>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101</w:t>
            </w:r>
          </w:p>
        </w:tc>
        <w:tc>
          <w:tcPr>
            <w:tcW w:type="dxa" w:w="805"/>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9</w:t>
            </w:r>
          </w:p>
        </w:tc>
        <w:tc>
          <w:tcPr>
            <w:tcW w:type="dxa" w:w="805"/>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5</w:t>
            </w:r>
          </w:p>
        </w:tc>
        <w:tc>
          <w:tcPr>
            <w:tcW w:type="dxa" w:w="805"/>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115</w:t>
            </w:r>
          </w:p>
        </w:tc>
      </w:tr>
      <w:tr>
        <w:trPr>
          <w:cantSplit/>
        </w:trPr>
        <w:tc>
          <w:tcPr>
            <w:tcW w:type="dxa" w:w="5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6</w:t>
            </w:r>
          </w:p>
        </w:tc>
        <w:tc>
          <w:tcPr>
            <w:tcW w:type="dxa" w:w="135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7"/>
                <w:szCs w:val="17"/>
              </w:rPr>
              <w:t xml:space="preserve">Mutharam</w:t>
            </w:r>
          </w:p>
        </w:tc>
        <w:tc>
          <w:tcPr>
            <w:tcW w:type="dxa" w:w="134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7"/>
                <w:szCs w:val="17"/>
              </w:rPr>
              <w:t xml:space="preserve">Alubaka</w:t>
            </w:r>
          </w:p>
        </w:tc>
        <w:tc>
          <w:tcPr>
            <w:tcW w:type="dxa" w:w="805"/>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19</w:t>
            </w:r>
          </w:p>
        </w:tc>
        <w:tc>
          <w:tcPr>
            <w:tcW w:type="dxa" w:w="805"/>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0</w:t>
            </w:r>
          </w:p>
        </w:tc>
        <w:tc>
          <w:tcPr>
            <w:tcW w:type="dxa" w:w="805"/>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14</w:t>
            </w:r>
          </w:p>
        </w:tc>
        <w:tc>
          <w:tcPr>
            <w:tcW w:type="dxa" w:w="805"/>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w:t>
            </w:r>
          </w:p>
        </w:tc>
        <w:tc>
          <w:tcPr>
            <w:tcW w:type="dxa" w:w="805"/>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14</w:t>
            </w:r>
          </w:p>
        </w:tc>
        <w:tc>
          <w:tcPr>
            <w:tcW w:type="dxa" w:w="805"/>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5</w:t>
            </w:r>
          </w:p>
        </w:tc>
        <w:tc>
          <w:tcPr>
            <w:tcW w:type="dxa" w:w="805"/>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7</w:t>
            </w:r>
          </w:p>
        </w:tc>
        <w:tc>
          <w:tcPr>
            <w:tcW w:type="dxa" w:w="805"/>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26</w:t>
            </w:r>
          </w:p>
        </w:tc>
      </w:tr>
      <w:tr>
        <w:trPr>
          <w:cantSplit/>
        </w:trPr>
        <w:tc>
          <w:tcPr>
            <w:tcW w:type="dxa" w:w="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7</w:t>
            </w:r>
          </w:p>
        </w:tc>
        <w:tc>
          <w:tcPr>
            <w:tcW w:type="dxa" w:w="135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7"/>
                <w:szCs w:val="17"/>
              </w:rPr>
              <w:t xml:space="preserve">Abbayigudem</w:t>
            </w:r>
          </w:p>
        </w:tc>
        <w:tc>
          <w:tcPr>
            <w:tcW w:type="dxa" w:w="134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7"/>
                <w:szCs w:val="17"/>
              </w:rPr>
              <w:t xml:space="preserve">Morrivanigudem</w:t>
            </w:r>
          </w:p>
        </w:tc>
        <w:tc>
          <w:tcPr>
            <w:tcW w:type="dxa" w:w="805"/>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58</w:t>
            </w:r>
          </w:p>
        </w:tc>
        <w:tc>
          <w:tcPr>
            <w:tcW w:type="dxa" w:w="805"/>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0</w:t>
            </w:r>
          </w:p>
        </w:tc>
        <w:tc>
          <w:tcPr>
            <w:tcW w:type="dxa" w:w="805"/>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35</w:t>
            </w:r>
          </w:p>
        </w:tc>
        <w:tc>
          <w:tcPr>
            <w:tcW w:type="dxa" w:w="805"/>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w:t>
            </w:r>
          </w:p>
        </w:tc>
        <w:tc>
          <w:tcPr>
            <w:tcW w:type="dxa" w:w="805"/>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35</w:t>
            </w:r>
          </w:p>
        </w:tc>
        <w:tc>
          <w:tcPr>
            <w:tcW w:type="dxa" w:w="805"/>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23</w:t>
            </w:r>
          </w:p>
        </w:tc>
        <w:tc>
          <w:tcPr>
            <w:tcW w:type="dxa" w:w="805"/>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6</w:t>
            </w:r>
          </w:p>
        </w:tc>
        <w:tc>
          <w:tcPr>
            <w:tcW w:type="dxa" w:w="805"/>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64</w:t>
            </w:r>
          </w:p>
        </w:tc>
      </w:tr>
      <w:tr>
        <w:trPr>
          <w:cantSplit/>
        </w:trPr>
        <w:tc>
          <w:tcPr>
            <w:tcW w:type="dxa" w:w="5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8</w:t>
            </w:r>
          </w:p>
        </w:tc>
        <w:tc>
          <w:tcPr>
            <w:tcW w:type="dxa" w:w="135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7"/>
                <w:szCs w:val="17"/>
              </w:rPr>
              <w:t xml:space="preserve">Pathrapuram</w:t>
            </w:r>
          </w:p>
        </w:tc>
        <w:tc>
          <w:tcPr>
            <w:tcW w:type="dxa" w:w="134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7"/>
                <w:szCs w:val="17"/>
              </w:rPr>
              <w:t xml:space="preserve">Pathrapuram</w:t>
            </w:r>
          </w:p>
        </w:tc>
        <w:tc>
          <w:tcPr>
            <w:tcW w:type="dxa" w:w="805"/>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26</w:t>
            </w:r>
          </w:p>
        </w:tc>
        <w:tc>
          <w:tcPr>
            <w:tcW w:type="dxa" w:w="805"/>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17</w:t>
            </w:r>
          </w:p>
        </w:tc>
        <w:tc>
          <w:tcPr>
            <w:tcW w:type="dxa" w:w="805"/>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0</w:t>
            </w:r>
          </w:p>
        </w:tc>
        <w:tc>
          <w:tcPr>
            <w:tcW w:type="dxa" w:w="805"/>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w:t>
            </w:r>
          </w:p>
        </w:tc>
        <w:tc>
          <w:tcPr>
            <w:tcW w:type="dxa" w:w="805"/>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17</w:t>
            </w:r>
          </w:p>
        </w:tc>
        <w:tc>
          <w:tcPr>
            <w:tcW w:type="dxa" w:w="805"/>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9</w:t>
            </w:r>
          </w:p>
        </w:tc>
        <w:tc>
          <w:tcPr>
            <w:tcW w:type="dxa" w:w="805"/>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5</w:t>
            </w:r>
          </w:p>
        </w:tc>
        <w:tc>
          <w:tcPr>
            <w:tcW w:type="dxa" w:w="805"/>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31</w:t>
            </w:r>
          </w:p>
        </w:tc>
      </w:tr>
      <w:tr>
        <w:trPr>
          <w:cantSplit/>
        </w:trPr>
        <w:tc>
          <w:tcPr>
            <w:tcW w:type="dxa" w:w="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9</w:t>
            </w:r>
          </w:p>
        </w:tc>
        <w:tc>
          <w:tcPr>
            <w:tcW w:type="dxa" w:w="135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7"/>
                <w:szCs w:val="17"/>
              </w:rPr>
              <w:t xml:space="preserve">Rachapalli</w:t>
            </w:r>
          </w:p>
        </w:tc>
        <w:tc>
          <w:tcPr>
            <w:tcW w:type="dxa" w:w="134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7"/>
                <w:szCs w:val="17"/>
              </w:rPr>
              <w:t xml:space="preserve">Rachapalli</w:t>
            </w:r>
          </w:p>
        </w:tc>
        <w:tc>
          <w:tcPr>
            <w:tcW w:type="dxa" w:w="805"/>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64</w:t>
            </w:r>
          </w:p>
        </w:tc>
        <w:tc>
          <w:tcPr>
            <w:tcW w:type="dxa" w:w="805"/>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50</w:t>
            </w:r>
          </w:p>
        </w:tc>
        <w:tc>
          <w:tcPr>
            <w:tcW w:type="dxa" w:w="805"/>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14</w:t>
            </w:r>
          </w:p>
        </w:tc>
        <w:tc>
          <w:tcPr>
            <w:tcW w:type="dxa" w:w="805"/>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w:t>
            </w:r>
          </w:p>
        </w:tc>
        <w:tc>
          <w:tcPr>
            <w:tcW w:type="dxa" w:w="805"/>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64</w:t>
            </w:r>
          </w:p>
        </w:tc>
        <w:tc>
          <w:tcPr>
            <w:tcW w:type="dxa" w:w="805"/>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0</w:t>
            </w:r>
          </w:p>
        </w:tc>
        <w:tc>
          <w:tcPr>
            <w:tcW w:type="dxa" w:w="805"/>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8</w:t>
            </w:r>
          </w:p>
        </w:tc>
        <w:tc>
          <w:tcPr>
            <w:tcW w:type="dxa" w:w="805"/>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72</w:t>
            </w:r>
          </w:p>
        </w:tc>
      </w:tr>
      <w:tr>
        <w:trPr>
          <w:cantSplit/>
        </w:trPr>
        <w:tc>
          <w:tcPr>
            <w:tcW w:type="dxa" w:w="5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10</w:t>
            </w:r>
          </w:p>
        </w:tc>
        <w:tc>
          <w:tcPr>
            <w:tcW w:type="dxa" w:w="135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7"/>
                <w:szCs w:val="17"/>
              </w:rPr>
              <w:t xml:space="preserve">Nuguru</w:t>
            </w:r>
          </w:p>
        </w:tc>
        <w:tc>
          <w:tcPr>
            <w:tcW w:type="dxa" w:w="134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7"/>
                <w:szCs w:val="17"/>
              </w:rPr>
              <w:t xml:space="preserve">Nuguru</w:t>
            </w:r>
          </w:p>
        </w:tc>
        <w:tc>
          <w:tcPr>
            <w:tcW w:type="dxa" w:w="805"/>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57</w:t>
            </w:r>
          </w:p>
        </w:tc>
        <w:tc>
          <w:tcPr>
            <w:tcW w:type="dxa" w:w="805"/>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0</w:t>
            </w:r>
          </w:p>
        </w:tc>
        <w:tc>
          <w:tcPr>
            <w:tcW w:type="dxa" w:w="805"/>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0</w:t>
            </w:r>
          </w:p>
        </w:tc>
        <w:tc>
          <w:tcPr>
            <w:tcW w:type="dxa" w:w="805"/>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43</w:t>
            </w:r>
          </w:p>
        </w:tc>
        <w:tc>
          <w:tcPr>
            <w:tcW w:type="dxa" w:w="805"/>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43</w:t>
            </w:r>
          </w:p>
        </w:tc>
        <w:tc>
          <w:tcPr>
            <w:tcW w:type="dxa" w:w="805"/>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14</w:t>
            </w:r>
          </w:p>
        </w:tc>
        <w:tc>
          <w:tcPr>
            <w:tcW w:type="dxa" w:w="805"/>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6</w:t>
            </w:r>
          </w:p>
        </w:tc>
        <w:tc>
          <w:tcPr>
            <w:tcW w:type="dxa" w:w="805"/>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7"/>
                <w:szCs w:val="17"/>
              </w:rPr>
              <w:t xml:space="preserve">63</w:t>
            </w:r>
          </w:p>
        </w:tc>
      </w:tr>
      <w:tr>
        <w:trPr>
          <w:cantSplit/>
        </w:trPr>
        <w:tc>
          <w:tcPr>
            <w:tcW w:type="dxa" w:w="500"/>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center"/>
            </w:pPr>
          </w:p>
        </w:tc>
        <w:tc>
          <w:tcPr>
            <w:tcW w:type="dxa" w:w="1350"/>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bCs/>
                <w:sz w:val="17"/>
                <w:szCs w:val="17"/>
              </w:rPr>
              <w:t xml:space="preserve">Total</w:t>
            </w:r>
          </w:p>
        </w:tc>
        <w:tc>
          <w:tcPr>
            <w:tcW w:type="dxa" w:w="1348"/>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left"/>
            </w:pPr>
          </w:p>
        </w:tc>
        <w:tc>
          <w:tcPr>
            <w:tcW w:type="dxa" w:w="805"/>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bCs/>
                <w:sz w:val="17"/>
                <w:szCs w:val="17"/>
              </w:rPr>
              <w:t xml:space="preserve">450</w:t>
            </w:r>
          </w:p>
        </w:tc>
        <w:tc>
          <w:tcPr>
            <w:tcW w:type="dxa" w:w="805"/>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bCs/>
                <w:sz w:val="17"/>
                <w:szCs w:val="17"/>
              </w:rPr>
              <w:t xml:space="preserve">181</w:t>
            </w:r>
          </w:p>
        </w:tc>
        <w:tc>
          <w:tcPr>
            <w:tcW w:type="dxa" w:w="805"/>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bCs/>
                <w:sz w:val="17"/>
                <w:szCs w:val="17"/>
              </w:rPr>
              <w:t xml:space="preserve">145</w:t>
            </w:r>
          </w:p>
        </w:tc>
        <w:tc>
          <w:tcPr>
            <w:tcW w:type="dxa" w:w="805"/>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bCs/>
                <w:sz w:val="17"/>
                <w:szCs w:val="17"/>
              </w:rPr>
              <w:t xml:space="preserve">50</w:t>
            </w:r>
          </w:p>
        </w:tc>
        <w:tc>
          <w:tcPr>
            <w:tcW w:type="dxa" w:w="805"/>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bCs/>
                <w:sz w:val="17"/>
                <w:szCs w:val="17"/>
              </w:rPr>
              <w:t xml:space="preserve">376</w:t>
            </w:r>
          </w:p>
        </w:tc>
        <w:tc>
          <w:tcPr>
            <w:tcW w:type="dxa" w:w="805"/>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bCs/>
                <w:sz w:val="17"/>
                <w:szCs w:val="17"/>
              </w:rPr>
              <w:t xml:space="preserve">74</w:t>
            </w:r>
          </w:p>
        </w:tc>
        <w:tc>
          <w:tcPr>
            <w:tcW w:type="dxa" w:w="805"/>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bCs/>
                <w:sz w:val="17"/>
                <w:szCs w:val="17"/>
              </w:rPr>
              <w:t xml:space="preserve">50</w:t>
            </w:r>
          </w:p>
        </w:tc>
        <w:tc>
          <w:tcPr>
            <w:tcW w:type="dxa" w:w="805"/>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bCs/>
                <w:sz w:val="17"/>
                <w:szCs w:val="17"/>
              </w:rPr>
              <w:t xml:space="preserve">500</w:t>
            </w:r>
          </w:p>
        </w:tc>
      </w:tr>
    </w:tbl>
    <w:p>
      <w:pPr>
        <w:spacing w:after="140"/>
      </w:pPr>
    </w:p>
    <w:p>
      <w:pPr>
        <w:spacing w:after="160" w:before="0"/>
      </w:pPr>
      <w:r>
        <w:rPr>
          <w:rFonts w:ascii="Calibri" w:cs="Calibri" w:eastAsia="Calibri" w:hAnsi="Calibri"/>
          <w:i/>
          <w:iCs/>
          <w:color w:val="595959"/>
          <w:sz w:val="17"/>
          <w:szCs w:val="17"/>
        </w:rPr>
        <w:t xml:space="preserve">* Year 3 plantation (50 Wadis) was completed during April–October 2026 and is shown for completeness.</w:t>
      </w:r>
    </w:p>
    <w:p>
      <w:pPr>
        <w:pStyle w:val="Heading3"/>
        <w:keepNext/>
      </w:pPr>
      <w:r>
        <w:rPr>
          <w:rFonts w:ascii="Calibri" w:cs="Calibri" w:eastAsia="Calibri" w:hAnsi="Calibri"/>
        </w:rPr>
        <w:t xml:space="preserve">6.1.2 Distribution of Planting Material</w:t>
      </w:r>
    </w:p>
    <w:p>
      <w:pPr>
        <w:spacing w:after="120" w:line="276"/>
        <w:jc w:val="both"/>
      </w:pPr>
      <w:r>
        <w:rPr>
          <w:rFonts w:ascii="Calibri" w:cs="Calibri" w:eastAsia="Calibri" w:hAnsi="Calibri"/>
        </w:rPr>
        <w:t xml:space="preserve">Quality grafted mango and guava saplings, along with teak saplings for border plantation, were distributed to Wadi farmers. Across the 376 Wadis established so far, </w:t>
      </w:r>
      <w:r>
        <w:rPr>
          <w:rFonts w:ascii="Calibri" w:cs="Calibri" w:eastAsia="Calibri" w:hAnsi="Calibri"/>
          <w:b/>
          <w:bCs/>
        </w:rPr>
        <w:t xml:space="preserve">50,230 saplings</w:t>
      </w:r>
      <w:r>
        <w:rPr>
          <w:rFonts w:ascii="Calibri" w:cs="Calibri" w:eastAsia="Calibri" w:hAnsi="Calibri"/>
        </w:rPr>
        <w:t xml:space="preserve"> have been supplied.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2138"/>
        <w:gridCol w:w="1100"/>
        <w:gridCol w:w="1400"/>
        <w:gridCol w:w="1400"/>
        <w:gridCol w:w="1500"/>
        <w:gridCol w:w="1400"/>
      </w:tblGrid>
      <w:tr>
        <w:trPr>
          <w:cantSplit/>
          <w:tblHeader/>
        </w:trPr>
        <w:tc>
          <w:tcPr>
            <w:tcW w:type="dxa" w:w="7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9"/>
                <w:szCs w:val="19"/>
              </w:rPr>
              <w:t xml:space="preserve">S.No</w:t>
            </w:r>
          </w:p>
        </w:tc>
        <w:tc>
          <w:tcPr>
            <w:tcW w:type="dxa" w:w="2138"/>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Village</w:t>
            </w:r>
          </w:p>
        </w:tc>
        <w:tc>
          <w:tcPr>
            <w:tcW w:type="dxa" w:w="11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9"/>
                <w:szCs w:val="19"/>
              </w:rPr>
              <w:t xml:space="preserve">Wadis</w:t>
            </w:r>
          </w:p>
        </w:tc>
        <w:tc>
          <w:tcPr>
            <w:tcW w:type="dxa" w:w="14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9"/>
                <w:szCs w:val="19"/>
              </w:rPr>
              <w:t xml:space="preserve">Mango</w:t>
            </w:r>
          </w:p>
        </w:tc>
        <w:tc>
          <w:tcPr>
            <w:tcW w:type="dxa" w:w="14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9"/>
                <w:szCs w:val="19"/>
              </w:rPr>
              <w:t xml:space="preserve">Guava</w:t>
            </w:r>
          </w:p>
        </w:tc>
        <w:tc>
          <w:tcPr>
            <w:tcW w:type="dxa" w:w="15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9"/>
                <w:szCs w:val="19"/>
              </w:rPr>
              <w:t xml:space="preserve">Border Teak</w:t>
            </w:r>
          </w:p>
        </w:tc>
        <w:tc>
          <w:tcPr>
            <w:tcW w:type="dxa" w:w="14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9"/>
                <w:szCs w:val="19"/>
              </w:rPr>
              <w:t xml:space="preserve">Total</w:t>
            </w:r>
          </w:p>
        </w:tc>
      </w:tr>
      <w:tr>
        <w:trPr>
          <w:cantSplit/>
        </w:trPr>
        <w:tc>
          <w:tcPr>
            <w:tcW w:type="dxa" w:w="7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center"/>
            </w:pPr>
            <w:r>
              <w:rPr>
                <w:rFonts w:ascii="Calibri" w:cs="Calibri" w:eastAsia="Calibri" w:hAnsi="Calibri"/>
                <w:b w:val="false"/>
                <w:bCs w:val="false"/>
                <w:sz w:val="19"/>
                <w:szCs w:val="19"/>
              </w:rPr>
              <w:t xml:space="preserve">1</w:t>
            </w:r>
          </w:p>
        </w:tc>
        <w:tc>
          <w:tcPr>
            <w:tcW w:type="dxa" w:w="21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Yakannagudem</w:t>
            </w:r>
          </w:p>
        </w:tc>
        <w:tc>
          <w:tcPr>
            <w:tcW w:type="dxa" w:w="11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center"/>
            </w:pPr>
            <w:r>
              <w:rPr>
                <w:rFonts w:ascii="Calibri" w:cs="Calibri" w:eastAsia="Calibri" w:hAnsi="Calibri"/>
                <w:b w:val="false"/>
                <w:bCs w:val="false"/>
                <w:sz w:val="19"/>
                <w:szCs w:val="19"/>
              </w:rPr>
              <w:t xml:space="preserve">33</w:t>
            </w:r>
          </w:p>
        </w:tc>
        <w:tc>
          <w:tcPr>
            <w:tcW w:type="dxa" w:w="1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right"/>
            </w:pPr>
            <w:r>
              <w:rPr>
                <w:rFonts w:ascii="Calibri" w:cs="Calibri" w:eastAsia="Calibri" w:hAnsi="Calibri"/>
                <w:b w:val="false"/>
                <w:bCs w:val="false"/>
                <w:sz w:val="19"/>
                <w:szCs w:val="19"/>
              </w:rPr>
              <w:t xml:space="preserve">1,848</w:t>
            </w:r>
          </w:p>
        </w:tc>
        <w:tc>
          <w:tcPr>
            <w:tcW w:type="dxa" w:w="1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right"/>
            </w:pPr>
            <w:r>
              <w:rPr>
                <w:rFonts w:ascii="Calibri" w:cs="Calibri" w:eastAsia="Calibri" w:hAnsi="Calibri"/>
                <w:b w:val="false"/>
                <w:bCs w:val="false"/>
                <w:sz w:val="19"/>
                <w:szCs w:val="19"/>
              </w:rPr>
              <w:t xml:space="preserve">726</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right"/>
            </w:pPr>
            <w:r>
              <w:rPr>
                <w:rFonts w:ascii="Calibri" w:cs="Calibri" w:eastAsia="Calibri" w:hAnsi="Calibri"/>
                <w:b w:val="false"/>
                <w:bCs w:val="false"/>
                <w:sz w:val="19"/>
                <w:szCs w:val="19"/>
              </w:rPr>
              <w:t xml:space="preserve">2,310</w:t>
            </w:r>
          </w:p>
        </w:tc>
        <w:tc>
          <w:tcPr>
            <w:tcW w:type="dxa" w:w="1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right"/>
            </w:pPr>
            <w:r>
              <w:rPr>
                <w:rFonts w:ascii="Calibri" w:cs="Calibri" w:eastAsia="Calibri" w:hAnsi="Calibri"/>
                <w:b w:val="false"/>
                <w:bCs w:val="false"/>
                <w:sz w:val="19"/>
                <w:szCs w:val="19"/>
              </w:rPr>
              <w:t xml:space="preserve">4,884</w:t>
            </w:r>
          </w:p>
        </w:tc>
      </w:tr>
      <w:tr>
        <w:trPr>
          <w:cantSplit/>
        </w:trPr>
        <w:tc>
          <w:tcPr>
            <w:tcW w:type="dxa" w:w="7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2</w:t>
            </w:r>
          </w:p>
        </w:tc>
        <w:tc>
          <w:tcPr>
            <w:tcW w:type="dxa" w:w="21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Suraveedu</w:t>
            </w:r>
          </w:p>
        </w:tc>
        <w:tc>
          <w:tcPr>
            <w:tcW w:type="dxa" w:w="11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4</w:t>
            </w:r>
          </w:p>
        </w:tc>
        <w:tc>
          <w:tcPr>
            <w:tcW w:type="dxa" w:w="14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224</w:t>
            </w:r>
          </w:p>
        </w:tc>
        <w:tc>
          <w:tcPr>
            <w:tcW w:type="dxa" w:w="14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88</w:t>
            </w:r>
          </w:p>
        </w:tc>
        <w:tc>
          <w:tcPr>
            <w:tcW w:type="dxa" w:w="15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280</w:t>
            </w:r>
          </w:p>
        </w:tc>
        <w:tc>
          <w:tcPr>
            <w:tcW w:type="dxa" w:w="14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592</w:t>
            </w:r>
          </w:p>
        </w:tc>
      </w:tr>
      <w:tr>
        <w:trPr>
          <w:cantSplit/>
        </w:trPr>
        <w:tc>
          <w:tcPr>
            <w:tcW w:type="dxa" w:w="7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3</w:t>
            </w:r>
          </w:p>
        </w:tc>
        <w:tc>
          <w:tcPr>
            <w:tcW w:type="dxa" w:w="21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Sri Rangapur</w:t>
            </w:r>
          </w:p>
        </w:tc>
        <w:tc>
          <w:tcPr>
            <w:tcW w:type="dxa" w:w="11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16</w:t>
            </w:r>
          </w:p>
        </w:tc>
        <w:tc>
          <w:tcPr>
            <w:tcW w:type="dxa" w:w="1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896</w:t>
            </w:r>
          </w:p>
        </w:tc>
        <w:tc>
          <w:tcPr>
            <w:tcW w:type="dxa" w:w="1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352</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1,120</w:t>
            </w:r>
          </w:p>
        </w:tc>
        <w:tc>
          <w:tcPr>
            <w:tcW w:type="dxa" w:w="1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2,368</w:t>
            </w:r>
          </w:p>
        </w:tc>
      </w:tr>
      <w:tr>
        <w:trPr>
          <w:cantSplit/>
        </w:trPr>
        <w:tc>
          <w:tcPr>
            <w:tcW w:type="dxa" w:w="7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4</w:t>
            </w:r>
          </w:p>
        </w:tc>
        <w:tc>
          <w:tcPr>
            <w:tcW w:type="dxa" w:w="21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K. Kondapur</w:t>
            </w:r>
          </w:p>
        </w:tc>
        <w:tc>
          <w:tcPr>
            <w:tcW w:type="dxa" w:w="11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49</w:t>
            </w:r>
          </w:p>
        </w:tc>
        <w:tc>
          <w:tcPr>
            <w:tcW w:type="dxa" w:w="14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2,576</w:t>
            </w:r>
          </w:p>
        </w:tc>
        <w:tc>
          <w:tcPr>
            <w:tcW w:type="dxa" w:w="14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1,078</w:t>
            </w:r>
          </w:p>
        </w:tc>
        <w:tc>
          <w:tcPr>
            <w:tcW w:type="dxa" w:w="15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3,430</w:t>
            </w:r>
          </w:p>
        </w:tc>
        <w:tc>
          <w:tcPr>
            <w:tcW w:type="dxa" w:w="14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7,084</w:t>
            </w:r>
          </w:p>
        </w:tc>
      </w:tr>
      <w:tr>
        <w:trPr>
          <w:cantSplit/>
        </w:trPr>
        <w:tc>
          <w:tcPr>
            <w:tcW w:type="dxa" w:w="7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5</w:t>
            </w:r>
          </w:p>
        </w:tc>
        <w:tc>
          <w:tcPr>
            <w:tcW w:type="dxa" w:w="21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Thippapuram</w:t>
            </w:r>
          </w:p>
        </w:tc>
        <w:tc>
          <w:tcPr>
            <w:tcW w:type="dxa" w:w="11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101</w:t>
            </w:r>
          </w:p>
        </w:tc>
        <w:tc>
          <w:tcPr>
            <w:tcW w:type="dxa" w:w="1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5,656</w:t>
            </w:r>
          </w:p>
        </w:tc>
        <w:tc>
          <w:tcPr>
            <w:tcW w:type="dxa" w:w="1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2,222</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1,820</w:t>
            </w:r>
          </w:p>
        </w:tc>
        <w:tc>
          <w:tcPr>
            <w:tcW w:type="dxa" w:w="1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9,698</w:t>
            </w:r>
          </w:p>
        </w:tc>
      </w:tr>
      <w:tr>
        <w:trPr>
          <w:cantSplit/>
        </w:trPr>
        <w:tc>
          <w:tcPr>
            <w:tcW w:type="dxa" w:w="7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6</w:t>
            </w:r>
          </w:p>
        </w:tc>
        <w:tc>
          <w:tcPr>
            <w:tcW w:type="dxa" w:w="21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Mutharam</w:t>
            </w:r>
          </w:p>
        </w:tc>
        <w:tc>
          <w:tcPr>
            <w:tcW w:type="dxa" w:w="11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14</w:t>
            </w:r>
          </w:p>
        </w:tc>
        <w:tc>
          <w:tcPr>
            <w:tcW w:type="dxa" w:w="14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784</w:t>
            </w:r>
          </w:p>
        </w:tc>
        <w:tc>
          <w:tcPr>
            <w:tcW w:type="dxa" w:w="14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308</w:t>
            </w:r>
          </w:p>
        </w:tc>
        <w:tc>
          <w:tcPr>
            <w:tcW w:type="dxa" w:w="15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980</w:t>
            </w:r>
          </w:p>
        </w:tc>
        <w:tc>
          <w:tcPr>
            <w:tcW w:type="dxa" w:w="14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2,072</w:t>
            </w:r>
          </w:p>
        </w:tc>
      </w:tr>
      <w:tr>
        <w:trPr>
          <w:cantSplit/>
        </w:trPr>
        <w:tc>
          <w:tcPr>
            <w:tcW w:type="dxa" w:w="7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7</w:t>
            </w:r>
          </w:p>
        </w:tc>
        <w:tc>
          <w:tcPr>
            <w:tcW w:type="dxa" w:w="21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Abbayigudem</w:t>
            </w:r>
          </w:p>
        </w:tc>
        <w:tc>
          <w:tcPr>
            <w:tcW w:type="dxa" w:w="11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35</w:t>
            </w:r>
          </w:p>
        </w:tc>
        <w:tc>
          <w:tcPr>
            <w:tcW w:type="dxa" w:w="1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1,960</w:t>
            </w:r>
          </w:p>
        </w:tc>
        <w:tc>
          <w:tcPr>
            <w:tcW w:type="dxa" w:w="1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770</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2,450</w:t>
            </w:r>
          </w:p>
        </w:tc>
        <w:tc>
          <w:tcPr>
            <w:tcW w:type="dxa" w:w="1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5,180</w:t>
            </w:r>
          </w:p>
        </w:tc>
      </w:tr>
      <w:tr>
        <w:trPr>
          <w:cantSplit/>
        </w:trPr>
        <w:tc>
          <w:tcPr>
            <w:tcW w:type="dxa" w:w="7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8</w:t>
            </w:r>
          </w:p>
        </w:tc>
        <w:tc>
          <w:tcPr>
            <w:tcW w:type="dxa" w:w="21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Pathrapuram</w:t>
            </w:r>
          </w:p>
        </w:tc>
        <w:tc>
          <w:tcPr>
            <w:tcW w:type="dxa" w:w="11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17</w:t>
            </w:r>
          </w:p>
        </w:tc>
        <w:tc>
          <w:tcPr>
            <w:tcW w:type="dxa" w:w="14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952</w:t>
            </w:r>
          </w:p>
        </w:tc>
        <w:tc>
          <w:tcPr>
            <w:tcW w:type="dxa" w:w="14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374</w:t>
            </w:r>
          </w:p>
        </w:tc>
        <w:tc>
          <w:tcPr>
            <w:tcW w:type="dxa" w:w="15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1,190</w:t>
            </w:r>
          </w:p>
        </w:tc>
        <w:tc>
          <w:tcPr>
            <w:tcW w:type="dxa" w:w="14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2,516</w:t>
            </w:r>
          </w:p>
        </w:tc>
      </w:tr>
      <w:tr>
        <w:trPr>
          <w:cantSplit/>
        </w:trPr>
        <w:tc>
          <w:tcPr>
            <w:tcW w:type="dxa" w:w="7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9</w:t>
            </w:r>
          </w:p>
        </w:tc>
        <w:tc>
          <w:tcPr>
            <w:tcW w:type="dxa" w:w="21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Rachapalli</w:t>
            </w:r>
          </w:p>
        </w:tc>
        <w:tc>
          <w:tcPr>
            <w:tcW w:type="dxa" w:w="11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64</w:t>
            </w:r>
          </w:p>
        </w:tc>
        <w:tc>
          <w:tcPr>
            <w:tcW w:type="dxa" w:w="1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3,584</w:t>
            </w:r>
          </w:p>
        </w:tc>
        <w:tc>
          <w:tcPr>
            <w:tcW w:type="dxa" w:w="1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1,408</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4,480</w:t>
            </w:r>
          </w:p>
        </w:tc>
        <w:tc>
          <w:tcPr>
            <w:tcW w:type="dxa" w:w="1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9,472</w:t>
            </w:r>
          </w:p>
        </w:tc>
      </w:tr>
      <w:tr>
        <w:trPr>
          <w:cantSplit/>
        </w:trPr>
        <w:tc>
          <w:tcPr>
            <w:tcW w:type="dxa" w:w="7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10</w:t>
            </w:r>
          </w:p>
        </w:tc>
        <w:tc>
          <w:tcPr>
            <w:tcW w:type="dxa" w:w="21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Nuguru</w:t>
            </w:r>
          </w:p>
        </w:tc>
        <w:tc>
          <w:tcPr>
            <w:tcW w:type="dxa" w:w="11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43</w:t>
            </w:r>
          </w:p>
        </w:tc>
        <w:tc>
          <w:tcPr>
            <w:tcW w:type="dxa" w:w="14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2,408</w:t>
            </w:r>
          </w:p>
        </w:tc>
        <w:tc>
          <w:tcPr>
            <w:tcW w:type="dxa" w:w="14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946</w:t>
            </w:r>
          </w:p>
        </w:tc>
        <w:tc>
          <w:tcPr>
            <w:tcW w:type="dxa" w:w="15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3,010</w:t>
            </w:r>
          </w:p>
        </w:tc>
        <w:tc>
          <w:tcPr>
            <w:tcW w:type="dxa" w:w="14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6,364</w:t>
            </w:r>
          </w:p>
        </w:tc>
      </w:tr>
      <w:tr>
        <w:trPr>
          <w:cantSplit/>
        </w:trPr>
        <w:tc>
          <w:tcPr>
            <w:tcW w:type="dxa" w:w="700"/>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center"/>
            </w:pPr>
          </w:p>
        </w:tc>
        <w:tc>
          <w:tcPr>
            <w:tcW w:type="dxa" w:w="2138"/>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bCs/>
                <w:sz w:val="19"/>
                <w:szCs w:val="19"/>
              </w:rPr>
              <w:t xml:space="preserve">Total</w:t>
            </w:r>
          </w:p>
        </w:tc>
        <w:tc>
          <w:tcPr>
            <w:tcW w:type="dxa" w:w="1100"/>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bCs/>
                <w:sz w:val="19"/>
                <w:szCs w:val="19"/>
              </w:rPr>
              <w:t xml:space="preserve">376</w:t>
            </w:r>
          </w:p>
        </w:tc>
        <w:tc>
          <w:tcPr>
            <w:tcW w:type="dxa" w:w="1400"/>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bCs/>
                <w:sz w:val="19"/>
                <w:szCs w:val="19"/>
              </w:rPr>
              <w:t xml:space="preserve">20,888</w:t>
            </w:r>
          </w:p>
        </w:tc>
        <w:tc>
          <w:tcPr>
            <w:tcW w:type="dxa" w:w="1400"/>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bCs/>
                <w:sz w:val="19"/>
                <w:szCs w:val="19"/>
              </w:rPr>
              <w:t xml:space="preserve">8,272</w:t>
            </w:r>
          </w:p>
        </w:tc>
        <w:tc>
          <w:tcPr>
            <w:tcW w:type="dxa" w:w="1500"/>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bCs/>
                <w:sz w:val="19"/>
                <w:szCs w:val="19"/>
              </w:rPr>
              <w:t xml:space="preserve">21,070</w:t>
            </w:r>
          </w:p>
        </w:tc>
        <w:tc>
          <w:tcPr>
            <w:tcW w:type="dxa" w:w="1400"/>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bCs/>
                <w:sz w:val="19"/>
                <w:szCs w:val="19"/>
              </w:rPr>
              <w:t xml:space="preserve">50,230</w:t>
            </w:r>
          </w:p>
        </w:tc>
      </w:tr>
    </w:tbl>
    <w:p>
      <w:pPr>
        <w:spacing w:after="140"/>
      </w:pPr>
    </w:p>
    <w:p>
      <w:pPr>
        <w:spacing w:after="160" w:before="0"/>
      </w:pPr>
      <w:r>
        <w:rPr>
          <w:rFonts w:ascii="Calibri" w:cs="Calibri" w:eastAsia="Calibri" w:hAnsi="Calibri"/>
          <w:i/>
          <w:iCs/>
          <w:color w:val="595959"/>
          <w:sz w:val="17"/>
          <w:szCs w:val="17"/>
        </w:rPr>
        <w:t xml:space="preserve">Note: Includes planting material for the 43 Nuguru Wadis planted in 2026–27. Within 2025–26, 326 Wadis were established.</w:t>
      </w:r>
    </w:p>
    <w:p>
      <w:pPr>
        <w:pStyle w:val="Heading3"/>
        <w:keepNext/>
      </w:pPr>
      <w:r>
        <w:rPr>
          <w:rFonts w:ascii="Calibri" w:cs="Calibri" w:eastAsia="Calibri" w:hAnsi="Calibri"/>
        </w:rPr>
        <w:t xml:space="preserve">6.1.3 Water Resource Development (WRD)</w:t>
      </w:r>
    </w:p>
    <w:p>
      <w:pPr>
        <w:spacing w:after="120" w:line="276"/>
        <w:jc w:val="both"/>
      </w:pPr>
      <w:r>
        <w:rPr>
          <w:rFonts w:ascii="Calibri" w:cs="Calibri" w:eastAsia="Calibri" w:hAnsi="Calibri"/>
        </w:rPr>
        <w:t xml:space="preserve">Assured irrigation is critical for sapling survival in the first three years. The following water-resource assets were created in the project villages: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00"/>
        <w:gridCol w:w="6838"/>
        <w:gridCol w:w="2000"/>
      </w:tblGrid>
      <w:tr>
        <w:trPr>
          <w:cantSplit/>
          <w:tblHeader/>
        </w:trPr>
        <w:tc>
          <w:tcPr>
            <w:tcW w:type="dxa" w:w="8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9"/>
                <w:szCs w:val="19"/>
              </w:rPr>
              <w:t xml:space="preserve">S.No</w:t>
            </w:r>
          </w:p>
        </w:tc>
        <w:tc>
          <w:tcPr>
            <w:tcW w:type="dxa" w:w="6838"/>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Water resource component</w:t>
            </w:r>
          </w:p>
        </w:tc>
        <w:tc>
          <w:tcPr>
            <w:tcW w:type="dxa" w:w="20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9"/>
                <w:szCs w:val="19"/>
              </w:rPr>
              <w:t xml:space="preserve">Achievement</w:t>
            </w:r>
          </w:p>
        </w:tc>
      </w:tr>
      <w:tr>
        <w:trPr>
          <w:cantSplit/>
        </w:trPr>
        <w:tc>
          <w:tcPr>
            <w:tcW w:type="dxa" w:w="8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center"/>
            </w:pPr>
            <w:r>
              <w:rPr>
                <w:rFonts w:ascii="Calibri" w:cs="Calibri" w:eastAsia="Calibri" w:hAnsi="Calibri"/>
                <w:b w:val="false"/>
                <w:bCs w:val="false"/>
                <w:sz w:val="19"/>
                <w:szCs w:val="19"/>
              </w:rPr>
              <w:t xml:space="preserve">1</w:t>
            </w:r>
          </w:p>
        </w:tc>
        <w:tc>
          <w:tcPr>
            <w:tcW w:type="dxa" w:w="68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Bore wells / open wells with submersible pump set, cable and starter</w:t>
            </w:r>
          </w:p>
        </w:tc>
        <w:tc>
          <w:tcPr>
            <w:tcW w:type="dxa" w:w="2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right"/>
            </w:pPr>
            <w:r>
              <w:rPr>
                <w:rFonts w:ascii="Calibri" w:cs="Calibri" w:eastAsia="Calibri" w:hAnsi="Calibri"/>
                <w:b w:val="false"/>
                <w:bCs w:val="false"/>
                <w:sz w:val="19"/>
                <w:szCs w:val="19"/>
              </w:rPr>
              <w:t xml:space="preserve">16 units</w:t>
            </w:r>
          </w:p>
        </w:tc>
      </w:tr>
      <w:tr>
        <w:trPr>
          <w:cantSplit/>
        </w:trPr>
        <w:tc>
          <w:tcPr>
            <w:tcW w:type="dxa" w:w="8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2</w:t>
            </w:r>
          </w:p>
        </w:tc>
        <w:tc>
          <w:tcPr>
            <w:tcW w:type="dxa" w:w="68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Open wells with oil engine and pump set</w:t>
            </w:r>
          </w:p>
        </w:tc>
        <w:tc>
          <w:tcPr>
            <w:tcW w:type="dxa" w:w="20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8 units</w:t>
            </w:r>
          </w:p>
        </w:tc>
      </w:tr>
      <w:tr>
        <w:trPr>
          <w:cantSplit/>
        </w:trPr>
        <w:tc>
          <w:tcPr>
            <w:tcW w:type="dxa" w:w="8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3</w:t>
            </w:r>
          </w:p>
        </w:tc>
        <w:tc>
          <w:tcPr>
            <w:tcW w:type="dxa" w:w="68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Mono-block motor pump sets with cable and starter</w:t>
            </w:r>
          </w:p>
        </w:tc>
        <w:tc>
          <w:tcPr>
            <w:tcW w:type="dxa" w:w="2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6 units</w:t>
            </w:r>
          </w:p>
        </w:tc>
      </w:tr>
      <w:tr>
        <w:trPr>
          <w:cantSplit/>
        </w:trPr>
        <w:tc>
          <w:tcPr>
            <w:tcW w:type="dxa" w:w="8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4</w:t>
            </w:r>
          </w:p>
        </w:tc>
        <w:tc>
          <w:tcPr>
            <w:tcW w:type="dxa" w:w="68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Pipeline (running metres) distributed across all 9 project villages</w:t>
            </w:r>
          </w:p>
        </w:tc>
        <w:tc>
          <w:tcPr>
            <w:tcW w:type="dxa" w:w="20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18,975 RMT</w:t>
            </w:r>
          </w:p>
        </w:tc>
      </w:tr>
      <w:tr>
        <w:trPr>
          <w:cantSplit/>
        </w:trPr>
        <w:tc>
          <w:tcPr>
            <w:tcW w:type="dxa" w:w="8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5</w:t>
            </w:r>
          </w:p>
        </w:tc>
        <w:tc>
          <w:tcPr>
            <w:tcW w:type="dxa" w:w="68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Water troughs constructed in Wadis</w:t>
            </w:r>
          </w:p>
        </w:tc>
        <w:tc>
          <w:tcPr>
            <w:tcW w:type="dxa" w:w="2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338 units</w:t>
            </w:r>
          </w:p>
        </w:tc>
      </w:tr>
    </w:tbl>
    <w:p>
      <w:pPr>
        <w:spacing w:after="140"/>
      </w:pPr>
    </w:p>
    <w:p>
      <w:pPr>
        <w:pStyle w:val="Heading3"/>
        <w:keepNext/>
      </w:pPr>
      <w:r>
        <w:rPr>
          <w:rFonts w:ascii="Calibri" w:cs="Calibri" w:eastAsia="Calibri" w:hAnsi="Calibri"/>
        </w:rPr>
        <w:t xml:space="preserve">6.1.4 Livelihood Units for Landless / Non-Wadi Families</w:t>
      </w:r>
    </w:p>
    <w:p>
      <w:pPr>
        <w:spacing w:after="120" w:line="276"/>
        <w:jc w:val="both"/>
      </w:pPr>
      <w:r>
        <w:rPr>
          <w:rFonts w:ascii="Calibri" w:cs="Calibri" w:eastAsia="Calibri" w:hAnsi="Calibri"/>
        </w:rPr>
        <w:t xml:space="preserve">To diversify incomes for families not covered under Wadis, 24 livelihood units were sanctioned and released. By 31 March 2026, </w:t>
      </w:r>
      <w:r>
        <w:rPr>
          <w:rFonts w:ascii="Calibri" w:cs="Calibri" w:eastAsia="Calibri" w:hAnsi="Calibri"/>
          <w:b/>
          <w:bCs/>
        </w:rPr>
        <w:t xml:space="preserve">23 units had been grounded</w:t>
      </w:r>
      <w:r>
        <w:rPr>
          <w:rFonts w:ascii="Calibri" w:cs="Calibri" w:eastAsia="Calibri" w:hAnsi="Calibri"/>
        </w:rPr>
        <w:t xml:space="preserve">; one mini rice-mill unit at Mutharam is pending.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638"/>
        <w:gridCol w:w="2000"/>
      </w:tblGrid>
      <w:tr>
        <w:trPr>
          <w:cantSplit/>
          <w:tblHeader/>
        </w:trPr>
        <w:tc>
          <w:tcPr>
            <w:tcW w:type="dxa" w:w="7638"/>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Type of livelihood unit</w:t>
            </w:r>
          </w:p>
        </w:tc>
        <w:tc>
          <w:tcPr>
            <w:tcW w:type="dxa" w:w="20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9"/>
                <w:szCs w:val="19"/>
              </w:rPr>
              <w:t xml:space="preserve">Units grounded</w:t>
            </w:r>
          </w:p>
        </w:tc>
      </w:tr>
      <w:tr>
        <w:trPr>
          <w:cantSplit/>
        </w:trPr>
        <w:tc>
          <w:tcPr>
            <w:tcW w:type="dxa" w:w="76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Buffalo rearing (1 milch animal per family)</w:t>
            </w:r>
          </w:p>
        </w:tc>
        <w:tc>
          <w:tcPr>
            <w:tcW w:type="dxa" w:w="2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center"/>
            </w:pPr>
            <w:r>
              <w:rPr>
                <w:rFonts w:ascii="Calibri" w:cs="Calibri" w:eastAsia="Calibri" w:hAnsi="Calibri"/>
                <w:b w:val="false"/>
                <w:bCs w:val="false"/>
                <w:sz w:val="19"/>
                <w:szCs w:val="19"/>
              </w:rPr>
              <w:t xml:space="preserve">5</w:t>
            </w:r>
          </w:p>
        </w:tc>
      </w:tr>
      <w:tr>
        <w:trPr>
          <w:cantSplit/>
        </w:trPr>
        <w:tc>
          <w:tcPr>
            <w:tcW w:type="dxa" w:w="76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Goat / sheep rearing (6+1 unit)</w:t>
            </w:r>
          </w:p>
        </w:tc>
        <w:tc>
          <w:tcPr>
            <w:tcW w:type="dxa" w:w="20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3</w:t>
            </w:r>
          </w:p>
        </w:tc>
      </w:tr>
      <w:tr>
        <w:trPr>
          <w:cantSplit/>
        </w:trPr>
        <w:tc>
          <w:tcPr>
            <w:tcW w:type="dxa" w:w="76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Kirana-cum-vegetable shop</w:t>
            </w:r>
          </w:p>
        </w:tc>
        <w:tc>
          <w:tcPr>
            <w:tcW w:type="dxa" w:w="2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3</w:t>
            </w:r>
          </w:p>
        </w:tc>
      </w:tr>
      <w:tr>
        <w:trPr>
          <w:cantSplit/>
        </w:trPr>
        <w:tc>
          <w:tcPr>
            <w:tcW w:type="dxa" w:w="76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Mini rice mill</w:t>
            </w:r>
          </w:p>
        </w:tc>
        <w:tc>
          <w:tcPr>
            <w:tcW w:type="dxa" w:w="20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2</w:t>
            </w:r>
          </w:p>
        </w:tc>
      </w:tr>
      <w:tr>
        <w:trPr>
          <w:cantSplit/>
        </w:trPr>
        <w:tc>
          <w:tcPr>
            <w:tcW w:type="dxa" w:w="76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Flour mill</w:t>
            </w:r>
          </w:p>
        </w:tc>
        <w:tc>
          <w:tcPr>
            <w:tcW w:type="dxa" w:w="2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3</w:t>
            </w:r>
          </w:p>
        </w:tc>
      </w:tr>
      <w:tr>
        <w:trPr>
          <w:cantSplit/>
        </w:trPr>
        <w:tc>
          <w:tcPr>
            <w:tcW w:type="dxa" w:w="76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Xerox centre</w:t>
            </w:r>
          </w:p>
        </w:tc>
        <w:tc>
          <w:tcPr>
            <w:tcW w:type="dxa" w:w="20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2</w:t>
            </w:r>
          </w:p>
        </w:tc>
      </w:tr>
      <w:tr>
        <w:trPr>
          <w:cantSplit/>
        </w:trPr>
        <w:tc>
          <w:tcPr>
            <w:tcW w:type="dxa" w:w="76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Tailoring (ladies emporium)</w:t>
            </w:r>
          </w:p>
        </w:tc>
        <w:tc>
          <w:tcPr>
            <w:tcW w:type="dxa" w:w="2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5</w:t>
            </w:r>
          </w:p>
        </w:tc>
      </w:tr>
      <w:tr>
        <w:trPr>
          <w:cantSplit/>
        </w:trPr>
        <w:tc>
          <w:tcPr>
            <w:tcW w:type="dxa" w:w="7638"/>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bCs/>
                <w:sz w:val="19"/>
                <w:szCs w:val="19"/>
              </w:rPr>
              <w:t xml:space="preserve">Total (against 24 released; 1 mini rice mill pending at Mutharam)</w:t>
            </w:r>
          </w:p>
        </w:tc>
        <w:tc>
          <w:tcPr>
            <w:tcW w:type="dxa" w:w="2000"/>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bCs/>
                <w:sz w:val="19"/>
                <w:szCs w:val="19"/>
              </w:rPr>
              <w:t xml:space="preserve">23</w:t>
            </w:r>
          </w:p>
        </w:tc>
      </w:tr>
    </w:tbl>
    <w:p>
      <w:pPr>
        <w:spacing w:after="140"/>
      </w:pPr>
    </w:p>
    <w:p>
      <w:pPr>
        <w:pStyle w:val="Heading3"/>
        <w:keepNext/>
      </w:pPr>
      <w:r>
        <w:rPr>
          <w:rFonts w:ascii="Calibri" w:cs="Calibri" w:eastAsia="Calibri" w:hAnsi="Calibri"/>
        </w:rPr>
        <w:t xml:space="preserve">6.1.5 Convergence with Government Schemes and Other Agencies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00"/>
        <w:gridCol w:w="5338"/>
        <w:gridCol w:w="1600"/>
      </w:tblGrid>
      <w:tr>
        <w:trPr>
          <w:cantSplit/>
          <w:tblHeader/>
        </w:trPr>
        <w:tc>
          <w:tcPr>
            <w:tcW w:type="dxa" w:w="27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Scheme / Agency</w:t>
            </w:r>
          </w:p>
        </w:tc>
        <w:tc>
          <w:tcPr>
            <w:tcW w:type="dxa" w:w="5338"/>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Activity</w:t>
            </w:r>
          </w:p>
        </w:tc>
        <w:tc>
          <w:tcPr>
            <w:tcW w:type="dxa" w:w="16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9"/>
                <w:szCs w:val="19"/>
              </w:rPr>
              <w:t xml:space="preserve">Amount (₹)</w:t>
            </w:r>
          </w:p>
        </w:tc>
      </w:tr>
      <w:tr>
        <w:trPr>
          <w:cantSplit/>
        </w:trPr>
        <w:tc>
          <w:tcPr>
            <w:tcW w:type="dxa" w:w="27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MGNREGS</w:t>
            </w:r>
          </w:p>
        </w:tc>
        <w:tc>
          <w:tcPr>
            <w:tcW w:type="dxa" w:w="53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Soil and Moisture Conservation (SMC) works in Abbayigudem and Rachapalli villages</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right"/>
            </w:pPr>
            <w:r>
              <w:rPr>
                <w:rFonts w:ascii="Calibri" w:cs="Calibri" w:eastAsia="Calibri" w:hAnsi="Calibri"/>
                <w:b w:val="false"/>
                <w:bCs w:val="false"/>
                <w:sz w:val="19"/>
                <w:szCs w:val="19"/>
              </w:rPr>
              <w:t xml:space="preserve">2,88,000</w:t>
            </w:r>
          </w:p>
        </w:tc>
      </w:tr>
      <w:tr>
        <w:trPr>
          <w:cantSplit/>
        </w:trPr>
        <w:tc>
          <w:tcPr>
            <w:tcW w:type="dxa" w:w="27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Horticulture Department &amp; ITDA (Maa Thota)</w:t>
            </w:r>
          </w:p>
        </w:tc>
        <w:tc>
          <w:tcPr>
            <w:tcW w:type="dxa" w:w="53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Kitchen-garden seed kits distributed to 100 farmers</w:t>
            </w:r>
          </w:p>
        </w:tc>
        <w:tc>
          <w:tcPr>
            <w:tcW w:type="dxa" w:w="16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95,000</w:t>
            </w:r>
          </w:p>
        </w:tc>
      </w:tr>
      <w:tr>
        <w:trPr>
          <w:cantSplit/>
        </w:trPr>
        <w:tc>
          <w:tcPr>
            <w:tcW w:type="dxa" w:w="27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CRPF 39th Battalion</w:t>
            </w:r>
          </w:p>
        </w:tc>
        <w:tc>
          <w:tcPr>
            <w:tcW w:type="dxa" w:w="53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Skill Development and Livelihood Enhancement Programme for 125 tribal youth (see Section 6.6)</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10,43,000</w:t>
            </w:r>
          </w:p>
        </w:tc>
      </w:tr>
      <w:tr>
        <w:trPr>
          <w:cantSplit/>
        </w:trPr>
        <w:tc>
          <w:tcPr>
            <w:tcW w:type="dxa" w:w="2700"/>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bCs/>
                <w:sz w:val="19"/>
                <w:szCs w:val="19"/>
              </w:rPr>
              <w:t xml:space="preserve">Total convergence mobilised</w:t>
            </w:r>
          </w:p>
        </w:tc>
        <w:tc>
          <w:tcPr>
            <w:tcW w:type="dxa" w:w="5338"/>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left"/>
            </w:pPr>
          </w:p>
        </w:tc>
        <w:tc>
          <w:tcPr>
            <w:tcW w:type="dxa" w:w="1600"/>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bCs/>
                <w:sz w:val="19"/>
                <w:szCs w:val="19"/>
              </w:rPr>
              <w:t xml:space="preserve">14,26,000</w:t>
            </w:r>
          </w:p>
        </w:tc>
      </w:tr>
    </w:tbl>
    <w:p>
      <w:pPr>
        <w:spacing w:after="140"/>
      </w:pPr>
    </w:p>
    <w:p>
      <w:pPr>
        <w:pStyle w:val="Heading3"/>
        <w:keepNext/>
      </w:pPr>
      <w:r>
        <w:rPr>
          <w:rFonts w:ascii="Calibri" w:cs="Calibri" w:eastAsia="Calibri" w:hAnsi="Calibri"/>
        </w:rPr>
        <w:t xml:space="preserve">6.1.6 Case Study: Bringing Forest Rights Land into Cultivation – Abbayigudem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1E6B3A" w:sz="24"/>
              <w:bottom w:val="none" w:color="FFFFFF" w:sz="0"/>
              <w:right w:val="none" w:color="FFFFFF" w:sz="0"/>
            </w:tcBorders>
            <w:shd w:fill="E8F3EC" w:color="auto" w:val="clear"/>
            <w:tcMar>
              <w:top w:type="dxa" w:w="100"/>
              <w:left w:type="dxa" w:w="180"/>
              <w:bottom w:type="dxa" w:w="100"/>
              <w:right w:type="dxa" w:w="140"/>
            </w:tcMar>
          </w:tcPr>
          <w:p>
            <w:pPr>
              <w:spacing w:after="60"/>
            </w:pPr>
            <w:r>
              <w:rPr>
                <w:rFonts w:ascii="Calibri" w:cs="Calibri" w:eastAsia="Calibri" w:hAnsi="Calibri"/>
                <w:b/>
                <w:bCs/>
                <w:color w:val="14502A"/>
              </w:rPr>
              <w:t xml:space="preserve">From idle land to orchards</w:t>
            </w:r>
          </w:p>
          <w:p>
            <w:pPr>
              <w:spacing w:after="0" w:line="264"/>
              <w:jc w:val="both"/>
            </w:pPr>
            <w:r>
              <w:rPr>
                <w:rFonts w:ascii="Calibri" w:cs="Calibri" w:eastAsia="Calibri" w:hAnsi="Calibri"/>
                <w:sz w:val="20"/>
                <w:szCs w:val="20"/>
              </w:rPr>
              <w:t xml:space="preserve">The Maa Thota farmers of Abbayigudem received about 25 acres of land under the Forest Rights Act, 2006. The land was covered with rocks and thorny bushes and had remained unused. Through MGNREGS convergence, the bushes and rocks were cleared and the land was developed; fruit saplings were then planted under the NABARD-supported Maa Thota programme. Farm ponds are now being constructed in these fields to harvest rainwater, improve groundwater recharge and secure water for the young orchards. The initiative has turned previously idle FRA land into productive orchards and opened a pathway for long-term income for tribal families.</w:t>
            </w:r>
          </w:p>
        </w:tc>
      </w:tr>
    </w:tbl>
    <w:p>
      <w:pPr>
        <w:spacing w:after="160"/>
      </w:pPr>
    </w:p>
    <w:p>
      <w:pPr>
        <w:pStyle w:val="Heading2"/>
        <w:keepNext/>
      </w:pPr>
      <w:r>
        <w:rPr>
          <w:rFonts w:ascii="Calibri" w:cs="Calibri" w:eastAsia="Calibri" w:hAnsi="Calibri"/>
        </w:rPr>
        <w:t xml:space="preserve">6.2 TDF – Tadvai and Govindaraopet Mandals (Maa Thota)</w:t>
      </w:r>
    </w:p>
    <w:p>
      <w:pPr>
        <w:spacing w:after="120" w:line="276"/>
        <w:jc w:val="both"/>
      </w:pPr>
      <w:r>
        <w:rPr>
          <w:rFonts w:ascii="Calibri" w:cs="Calibri" w:eastAsia="Calibri" w:hAnsi="Calibri"/>
        </w:rPr>
        <w:t xml:space="preserve">The TDF project in Tadvai and Govindaraopet mandals has completed its implementation period. During 2025–26, Vanasamakhya focused on protecting and restoring the established mango orchards, improving varietal quality, and completing project closure formalities with NABARD.</w:t>
      </w:r>
    </w:p>
    <w:p>
      <w:pPr>
        <w:pStyle w:val="Heading3"/>
        <w:keepNext/>
      </w:pPr>
      <w:r>
        <w:rPr>
          <w:rFonts w:ascii="Calibri" w:cs="Calibri" w:eastAsia="Calibri" w:hAnsi="Calibri"/>
        </w:rPr>
        <w:t xml:space="preserve">6.2.1 Summer Water Supply to Orchards</w:t>
      </w:r>
    </w:p>
    <w:p>
      <w:pPr>
        <w:spacing w:after="120" w:line="276"/>
        <w:jc w:val="both"/>
      </w:pPr>
      <w:r>
        <w:rPr>
          <w:rFonts w:ascii="Calibri" w:cs="Calibri" w:eastAsia="Calibri" w:hAnsi="Calibri"/>
        </w:rPr>
        <w:t xml:space="preserve">High temperatures and declining water availability during summer threatened the survival of young mango plants. The farmers jointly decided to arrange water supply, and with their </w:t>
      </w:r>
      <w:r>
        <w:rPr>
          <w:rFonts w:ascii="Calibri" w:cs="Calibri" w:eastAsia="Calibri" w:hAnsi="Calibri"/>
          <w:b/>
          <w:bCs/>
        </w:rPr>
        <w:t xml:space="preserve">voluntary financial contribution</w:t>
      </w:r>
      <w:r>
        <w:rPr>
          <w:rFonts w:ascii="Calibri" w:cs="Calibri" w:eastAsia="Calibri" w:hAnsi="Calibri"/>
        </w:rPr>
        <w:t xml:space="preserve">, water was supplied by tractor-tankers to water-stressed orchards during April and May, prioritising the most critical plots. Vanasamakhya provided field-level coordination and guidance. The effort protected plant survival and demonstrated strong farmer ownership of the orchards.</w:t>
      </w:r>
    </w:p>
    <w:p>
      <w:pPr>
        <w:pStyle w:val="Heading3"/>
        <w:keepNext/>
      </w:pPr>
      <w:r>
        <w:rPr>
          <w:rFonts w:ascii="Calibri" w:cs="Calibri" w:eastAsia="Calibri" w:hAnsi="Calibri"/>
        </w:rPr>
        <w:t xml:space="preserve">6.2.2 Restoration of Fire-Damaged Orchards</w:t>
      </w:r>
    </w:p>
    <w:p>
      <w:pPr>
        <w:spacing w:after="120" w:line="276"/>
        <w:jc w:val="both"/>
      </w:pPr>
      <w:r>
        <w:rPr>
          <w:rFonts w:ascii="Calibri" w:cs="Calibri" w:eastAsia="Calibri" w:hAnsi="Calibri"/>
        </w:rPr>
        <w:t xml:space="preserve">A fire in late March damaged orchards in three villages, completely burning </w:t>
      </w:r>
      <w:r>
        <w:rPr>
          <w:rFonts w:ascii="Calibri" w:cs="Calibri" w:eastAsia="Calibri" w:hAnsi="Calibri"/>
          <w:b/>
          <w:bCs/>
        </w:rPr>
        <w:t xml:space="preserve">1,115 mango plants</w:t>
      </w:r>
      <w:r>
        <w:rPr>
          <w:rFonts w:ascii="Calibri" w:cs="Calibri" w:eastAsia="Calibri" w:hAnsi="Calibri"/>
        </w:rPr>
        <w:t xml:space="preserve"> across </w:t>
      </w:r>
      <w:r>
        <w:rPr>
          <w:rFonts w:ascii="Calibri" w:cs="Calibri" w:eastAsia="Calibri" w:hAnsi="Calibri"/>
          <w:b/>
          <w:bCs/>
        </w:rPr>
        <w:t xml:space="preserve">19 acres</w:t>
      </w:r>
      <w:r>
        <w:rPr>
          <w:rFonts w:ascii="Calibri" w:cs="Calibri" w:eastAsia="Calibri" w:hAnsi="Calibri"/>
        </w:rPr>
        <w:t xml:space="preserve">. Damage was assessed in the field and a report was submitted to NABARD. With NABARD support, </w:t>
      </w:r>
      <w:r>
        <w:rPr>
          <w:rFonts w:ascii="Calibri" w:cs="Calibri" w:eastAsia="Calibri" w:hAnsi="Calibri"/>
          <w:b/>
          <w:bCs/>
        </w:rPr>
        <w:t xml:space="preserve">1,155 mango saplings</w:t>
      </w:r>
      <w:r>
        <w:rPr>
          <w:rFonts w:ascii="Calibri" w:cs="Calibri" w:eastAsia="Calibri" w:hAnsi="Calibri"/>
        </w:rPr>
        <w:t xml:space="preserve"> were provided to the </w:t>
      </w:r>
      <w:r>
        <w:rPr>
          <w:rFonts w:ascii="Calibri" w:cs="Calibri" w:eastAsia="Calibri" w:hAnsi="Calibri"/>
          <w:b/>
          <w:bCs/>
        </w:rPr>
        <w:t xml:space="preserve">19 affected farmers</w:t>
      </w:r>
      <w:r>
        <w:rPr>
          <w:rFonts w:ascii="Calibri" w:cs="Calibri" w:eastAsia="Calibri" w:hAnsi="Calibri"/>
        </w:rPr>
        <w:t xml:space="preserve">, together with 40 kg neem cake, 38 kg organic manure and 1 litre neem oil per farmer. Farmers were trained on replanting, plant care and plant protection.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3200"/>
        <w:gridCol w:w="3238"/>
      </w:tblGrid>
      <w:tr>
        <w:trPr>
          <w:cantSplit/>
          <w:tblHeader/>
        </w:trPr>
        <w:tc>
          <w:tcPr>
            <w:tcW w:type="dxa" w:w="32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Mandal</w:t>
            </w:r>
          </w:p>
        </w:tc>
        <w:tc>
          <w:tcPr>
            <w:tcW w:type="dxa" w:w="32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Village</w:t>
            </w:r>
          </w:p>
        </w:tc>
        <w:tc>
          <w:tcPr>
            <w:tcW w:type="dxa" w:w="3238"/>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9"/>
                <w:szCs w:val="19"/>
              </w:rPr>
              <w:t xml:space="preserve">Area affected (acres)</w:t>
            </w:r>
          </w:p>
        </w:tc>
      </w:tr>
      <w:tr>
        <w:trPr>
          <w:cantSplit/>
        </w:trPr>
        <w:tc>
          <w:tcPr>
            <w:tcW w:type="dxa" w:w="32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Govindaraopet</w:t>
            </w:r>
          </w:p>
        </w:tc>
        <w:tc>
          <w:tcPr>
            <w:tcW w:type="dxa" w:w="32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Bussapur</w:t>
            </w:r>
          </w:p>
        </w:tc>
        <w:tc>
          <w:tcPr>
            <w:tcW w:type="dxa" w:w="32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center"/>
            </w:pPr>
            <w:r>
              <w:rPr>
                <w:rFonts w:ascii="Calibri" w:cs="Calibri" w:eastAsia="Calibri" w:hAnsi="Calibri"/>
                <w:b w:val="false"/>
                <w:bCs w:val="false"/>
                <w:sz w:val="19"/>
                <w:szCs w:val="19"/>
              </w:rPr>
              <w:t xml:space="preserve">1</w:t>
            </w:r>
          </w:p>
        </w:tc>
      </w:tr>
      <w:tr>
        <w:trPr>
          <w:cantSplit/>
        </w:trPr>
        <w:tc>
          <w:tcPr>
            <w:tcW w:type="dxa" w:w="32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Tadvai</w:t>
            </w:r>
          </w:p>
        </w:tc>
        <w:tc>
          <w:tcPr>
            <w:tcW w:type="dxa" w:w="32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Oddugudem</w:t>
            </w:r>
          </w:p>
        </w:tc>
        <w:tc>
          <w:tcPr>
            <w:tcW w:type="dxa" w:w="32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14</w:t>
            </w:r>
          </w:p>
        </w:tc>
      </w:tr>
      <w:tr>
        <w:trPr>
          <w:cantSplit/>
        </w:trPr>
        <w:tc>
          <w:tcPr>
            <w:tcW w:type="dxa" w:w="32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Tadvai</w:t>
            </w:r>
          </w:p>
        </w:tc>
        <w:tc>
          <w:tcPr>
            <w:tcW w:type="dxa" w:w="32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Pochapur</w:t>
            </w:r>
          </w:p>
        </w:tc>
        <w:tc>
          <w:tcPr>
            <w:tcW w:type="dxa" w:w="32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4</w:t>
            </w:r>
          </w:p>
        </w:tc>
      </w:tr>
      <w:tr>
        <w:trPr>
          <w:cantSplit/>
        </w:trPr>
        <w:tc>
          <w:tcPr>
            <w:tcW w:type="dxa" w:w="3200"/>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bCs/>
                <w:sz w:val="19"/>
                <w:szCs w:val="19"/>
              </w:rPr>
              <w:t xml:space="preserve">Total</w:t>
            </w:r>
          </w:p>
        </w:tc>
        <w:tc>
          <w:tcPr>
            <w:tcW w:type="dxa" w:w="3200"/>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bCs/>
                <w:sz w:val="19"/>
                <w:szCs w:val="19"/>
              </w:rPr>
              <w:t xml:space="preserve">3 villages</w:t>
            </w:r>
          </w:p>
        </w:tc>
        <w:tc>
          <w:tcPr>
            <w:tcW w:type="dxa" w:w="3238"/>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bCs/>
                <w:sz w:val="19"/>
                <w:szCs w:val="19"/>
              </w:rPr>
              <w:t xml:space="preserve">19</w:t>
            </w:r>
          </w:p>
        </w:tc>
      </w:tr>
    </w:tbl>
    <w:p>
      <w:pPr>
        <w:spacing w:after="140"/>
      </w:pPr>
    </w:p>
    <w:p>
      <w:pPr>
        <w:pStyle w:val="Heading3"/>
        <w:keepNext/>
      </w:pPr>
      <w:r>
        <w:rPr>
          <w:rFonts w:ascii="Calibri" w:cs="Calibri" w:eastAsia="Calibri" w:hAnsi="Calibri"/>
        </w:rPr>
        <w:t xml:space="preserve">6.2.3 Support after Unseasonal Rains and Gales</w:t>
      </w:r>
    </w:p>
    <w:p>
      <w:pPr>
        <w:spacing w:after="120" w:line="276"/>
        <w:jc w:val="both"/>
      </w:pPr>
      <w:r>
        <w:rPr>
          <w:rFonts w:ascii="Calibri" w:cs="Calibri" w:eastAsia="Calibri" w:hAnsi="Calibri"/>
        </w:rPr>
        <w:t xml:space="preserve">Unseasonal rain and strong winds in April broke </w:t>
      </w:r>
      <w:r>
        <w:rPr>
          <w:rFonts w:ascii="Calibri" w:cs="Calibri" w:eastAsia="Calibri" w:hAnsi="Calibri"/>
          <w:b/>
          <w:bCs/>
        </w:rPr>
        <w:t xml:space="preserve">140 mango trees</w:t>
      </w:r>
      <w:r>
        <w:rPr>
          <w:rFonts w:ascii="Calibri" w:cs="Calibri" w:eastAsia="Calibri" w:hAnsi="Calibri"/>
        </w:rPr>
        <w:t xml:space="preserve"> belonging to </w:t>
      </w:r>
      <w:r>
        <w:rPr>
          <w:rFonts w:ascii="Calibri" w:cs="Calibri" w:eastAsia="Calibri" w:hAnsi="Calibri"/>
          <w:b/>
          <w:bCs/>
        </w:rPr>
        <w:t xml:space="preserve">31 farmers</w:t>
      </w:r>
      <w:r>
        <w:rPr>
          <w:rFonts w:ascii="Calibri" w:cs="Calibri" w:eastAsia="Calibri" w:hAnsi="Calibri"/>
        </w:rPr>
        <w:t xml:space="preserve"> across </w:t>
      </w:r>
      <w:r>
        <w:rPr>
          <w:rFonts w:ascii="Calibri" w:cs="Calibri" w:eastAsia="Calibri" w:hAnsi="Calibri"/>
          <w:b/>
          <w:bCs/>
        </w:rPr>
        <w:t xml:space="preserve">31 acres</w:t>
      </w:r>
      <w:r>
        <w:rPr>
          <w:rFonts w:ascii="Calibri" w:cs="Calibri" w:eastAsia="Calibri" w:hAnsi="Calibri"/>
        </w:rPr>
        <w:t xml:space="preserve"> in eight villages. After field verification, a damage report was submitted to NABARD and each affected farmer received 40 kg neem cake, 38 kg organic manure and 1 litre neem oil, along with advice on plant protection and orchard management to reduce future losses.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5838"/>
        <w:gridCol w:w="1600"/>
      </w:tblGrid>
      <w:tr>
        <w:trPr>
          <w:cantSplit/>
          <w:tblHeader/>
        </w:trPr>
        <w:tc>
          <w:tcPr>
            <w:tcW w:type="dxa" w:w="22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Mandal</w:t>
            </w:r>
          </w:p>
        </w:tc>
        <w:tc>
          <w:tcPr>
            <w:tcW w:type="dxa" w:w="5838"/>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Villages (acres affected)</w:t>
            </w:r>
          </w:p>
        </w:tc>
        <w:tc>
          <w:tcPr>
            <w:tcW w:type="dxa" w:w="16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9"/>
                <w:szCs w:val="19"/>
              </w:rPr>
              <w:t xml:space="preserve">Total acres</w:t>
            </w:r>
          </w:p>
        </w:tc>
      </w:tr>
      <w:tr>
        <w:trPr>
          <w:cantSplit/>
        </w:trPr>
        <w:tc>
          <w:tcPr>
            <w:tcW w:type="dxa" w:w="22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Govindaraopet</w:t>
            </w:r>
          </w:p>
        </w:tc>
        <w:tc>
          <w:tcPr>
            <w:tcW w:type="dxa" w:w="58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Bussapur (1), Rangapur (2), Karlapalli (4)</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center"/>
            </w:pPr>
            <w:r>
              <w:rPr>
                <w:rFonts w:ascii="Calibri" w:cs="Calibri" w:eastAsia="Calibri" w:hAnsi="Calibri"/>
                <w:b w:val="false"/>
                <w:bCs w:val="false"/>
                <w:sz w:val="19"/>
                <w:szCs w:val="19"/>
              </w:rPr>
              <w:t xml:space="preserve">7</w:t>
            </w:r>
          </w:p>
        </w:tc>
      </w:tr>
      <w:tr>
        <w:trPr>
          <w:cantSplit/>
        </w:trPr>
        <w:tc>
          <w:tcPr>
            <w:tcW w:type="dxa" w:w="22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Tadvai</w:t>
            </w:r>
          </w:p>
        </w:tc>
        <w:tc>
          <w:tcPr>
            <w:tcW w:type="dxa" w:w="58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Narlapur (4), Bandala (8), Oddugudem (4), Narsapur (5), Bollepalli (3)</w:t>
            </w:r>
          </w:p>
        </w:tc>
        <w:tc>
          <w:tcPr>
            <w:tcW w:type="dxa" w:w="16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val="false"/>
                <w:bCs w:val="false"/>
                <w:sz w:val="19"/>
                <w:szCs w:val="19"/>
              </w:rPr>
              <w:t xml:space="preserve">24</w:t>
            </w:r>
          </w:p>
        </w:tc>
      </w:tr>
      <w:tr>
        <w:trPr>
          <w:cantSplit/>
        </w:trPr>
        <w:tc>
          <w:tcPr>
            <w:tcW w:type="dxa" w:w="2200"/>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bCs/>
                <w:sz w:val="19"/>
                <w:szCs w:val="19"/>
              </w:rPr>
              <w:t xml:space="preserve">Total</w:t>
            </w:r>
          </w:p>
        </w:tc>
        <w:tc>
          <w:tcPr>
            <w:tcW w:type="dxa" w:w="5838"/>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bCs/>
                <w:sz w:val="19"/>
                <w:szCs w:val="19"/>
              </w:rPr>
              <w:t xml:space="preserve">8 villages | 31 farmers | 140 trees</w:t>
            </w:r>
          </w:p>
        </w:tc>
        <w:tc>
          <w:tcPr>
            <w:tcW w:type="dxa" w:w="1600"/>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bCs/>
                <w:sz w:val="19"/>
                <w:szCs w:val="19"/>
              </w:rPr>
              <w:t xml:space="preserve">31</w:t>
            </w:r>
          </w:p>
        </w:tc>
      </w:tr>
    </w:tbl>
    <w:p>
      <w:pPr>
        <w:spacing w:after="140"/>
      </w:pPr>
    </w:p>
    <w:p>
      <w:pPr>
        <w:pStyle w:val="Heading3"/>
        <w:keepNext/>
      </w:pPr>
      <w:r>
        <w:rPr>
          <w:rFonts w:ascii="Calibri" w:cs="Calibri" w:eastAsia="Calibri" w:hAnsi="Calibri"/>
        </w:rPr>
        <w:t xml:space="preserve">6.2.4 Top-working (Grafting) to Banganapalli Variety</w:t>
      </w:r>
    </w:p>
    <w:p>
      <w:pPr>
        <w:spacing w:after="120" w:line="276"/>
        <w:jc w:val="both"/>
      </w:pPr>
      <w:r>
        <w:rPr>
          <w:rFonts w:ascii="Calibri" w:cs="Calibri" w:eastAsia="Calibri" w:hAnsi="Calibri"/>
        </w:rPr>
        <w:t xml:space="preserve">To improve orchard productivity and market value, a top-working programme was taken up to convert low-value Konda Mamidi and Totapuri trees to the high-demand </w:t>
      </w:r>
      <w:r>
        <w:rPr>
          <w:rFonts w:ascii="Calibri" w:cs="Calibri" w:eastAsia="Calibri" w:hAnsi="Calibri"/>
          <w:b/>
          <w:bCs/>
        </w:rPr>
        <w:t xml:space="preserve">Banganapalli</w:t>
      </w:r>
      <w:r>
        <w:rPr>
          <w:rFonts w:ascii="Calibri" w:cs="Calibri" w:eastAsia="Calibri" w:hAnsi="Calibri"/>
        </w:rPr>
        <w:t xml:space="preserve"> variety. In August, the technical team of </w:t>
      </w:r>
      <w:r>
        <w:rPr>
          <w:rFonts w:ascii="Calibri" w:cs="Calibri" w:eastAsia="Calibri" w:hAnsi="Calibri"/>
          <w:b/>
          <w:bCs/>
        </w:rPr>
        <w:t xml:space="preserve">Mahalakshmi Nursery, Rajahmundry</w:t>
      </w:r>
      <w:r>
        <w:rPr>
          <w:rFonts w:ascii="Calibri" w:cs="Calibri" w:eastAsia="Calibri" w:hAnsi="Calibri"/>
        </w:rPr>
        <w:t xml:space="preserve"> (led by Shri Subba Rao) surveyed selected orchards and prepared the trees by heading back the branches; grafting was completed in September. The approach upgrades existing trees without uprooting them and is expected to improve fruit quality and prices.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2400"/>
        <w:gridCol w:w="2438"/>
        <w:gridCol w:w="2400"/>
      </w:tblGrid>
      <w:tr>
        <w:trPr>
          <w:cantSplit/>
          <w:tblHeader/>
        </w:trPr>
        <w:tc>
          <w:tcPr>
            <w:tcW w:type="dxa" w:w="24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Mandal</w:t>
            </w:r>
          </w:p>
        </w:tc>
        <w:tc>
          <w:tcPr>
            <w:tcW w:type="dxa" w:w="24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Village</w:t>
            </w:r>
          </w:p>
        </w:tc>
        <w:tc>
          <w:tcPr>
            <w:tcW w:type="dxa" w:w="2438"/>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9"/>
                <w:szCs w:val="19"/>
              </w:rPr>
              <w:t xml:space="preserve">Orchard area (acres)</w:t>
            </w:r>
          </w:p>
        </w:tc>
        <w:tc>
          <w:tcPr>
            <w:tcW w:type="dxa" w:w="24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9"/>
                <w:szCs w:val="19"/>
              </w:rPr>
              <w:t xml:space="preserve">Plants grafted</w:t>
            </w:r>
          </w:p>
        </w:tc>
      </w:tr>
      <w:tr>
        <w:trPr>
          <w:cantSplit/>
        </w:trPr>
        <w:tc>
          <w:tcPr>
            <w:tcW w:type="dxa" w:w="2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Govindaraopet</w:t>
            </w:r>
          </w:p>
        </w:tc>
        <w:tc>
          <w:tcPr>
            <w:tcW w:type="dxa" w:w="2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Bussapur</w:t>
            </w:r>
          </w:p>
        </w:tc>
        <w:tc>
          <w:tcPr>
            <w:tcW w:type="dxa" w:w="24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center"/>
            </w:pPr>
            <w:r>
              <w:rPr>
                <w:rFonts w:ascii="Calibri" w:cs="Calibri" w:eastAsia="Calibri" w:hAnsi="Calibri"/>
                <w:b w:val="false"/>
                <w:bCs w:val="false"/>
                <w:sz w:val="19"/>
                <w:szCs w:val="19"/>
              </w:rPr>
              <w:t xml:space="preserve">4</w:t>
            </w:r>
          </w:p>
        </w:tc>
        <w:tc>
          <w:tcPr>
            <w:tcW w:type="dxa" w:w="2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center"/>
            </w:pPr>
            <w:r>
              <w:rPr>
                <w:rFonts w:ascii="Calibri" w:cs="Calibri" w:eastAsia="Calibri" w:hAnsi="Calibri"/>
                <w:b w:val="false"/>
                <w:bCs w:val="false"/>
                <w:sz w:val="19"/>
                <w:szCs w:val="19"/>
              </w:rPr>
              <w:t xml:space="preserve">50</w:t>
            </w:r>
          </w:p>
        </w:tc>
      </w:tr>
      <w:tr>
        <w:trPr>
          <w:cantSplit/>
        </w:trPr>
        <w:tc>
          <w:tcPr>
            <w:tcW w:type="dxa" w:w="24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Tadvai</w:t>
            </w:r>
          </w:p>
        </w:tc>
        <w:tc>
          <w:tcPr>
            <w:tcW w:type="dxa" w:w="24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Narsapur</w:t>
            </w:r>
          </w:p>
        </w:tc>
        <w:tc>
          <w:tcPr>
            <w:tcW w:type="dxa" w:w="24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9</w:t>
            </w:r>
          </w:p>
        </w:tc>
        <w:tc>
          <w:tcPr>
            <w:tcW w:type="dxa" w:w="24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80</w:t>
            </w:r>
          </w:p>
        </w:tc>
      </w:tr>
      <w:tr>
        <w:trPr>
          <w:cantSplit/>
        </w:trPr>
        <w:tc>
          <w:tcPr>
            <w:tcW w:type="dxa" w:w="2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Tadvai</w:t>
            </w:r>
          </w:p>
        </w:tc>
        <w:tc>
          <w:tcPr>
            <w:tcW w:type="dxa" w:w="2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L.B. Nagar</w:t>
            </w:r>
          </w:p>
        </w:tc>
        <w:tc>
          <w:tcPr>
            <w:tcW w:type="dxa" w:w="24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10</w:t>
            </w:r>
          </w:p>
        </w:tc>
        <w:tc>
          <w:tcPr>
            <w:tcW w:type="dxa" w:w="2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50</w:t>
            </w:r>
          </w:p>
        </w:tc>
      </w:tr>
      <w:tr>
        <w:trPr>
          <w:cantSplit/>
        </w:trPr>
        <w:tc>
          <w:tcPr>
            <w:tcW w:type="dxa" w:w="2400"/>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bCs/>
                <w:sz w:val="19"/>
                <w:szCs w:val="19"/>
              </w:rPr>
              <w:t xml:space="preserve">Total</w:t>
            </w:r>
          </w:p>
        </w:tc>
        <w:tc>
          <w:tcPr>
            <w:tcW w:type="dxa" w:w="2400"/>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left"/>
            </w:pPr>
          </w:p>
        </w:tc>
        <w:tc>
          <w:tcPr>
            <w:tcW w:type="dxa" w:w="2438"/>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bCs/>
                <w:sz w:val="19"/>
                <w:szCs w:val="19"/>
              </w:rPr>
              <w:t xml:space="preserve">23</w:t>
            </w:r>
          </w:p>
        </w:tc>
        <w:tc>
          <w:tcPr>
            <w:tcW w:type="dxa" w:w="2400"/>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bCs/>
                <w:sz w:val="19"/>
                <w:szCs w:val="19"/>
              </w:rPr>
              <w:t xml:space="preserve">180</w:t>
            </w:r>
          </w:p>
        </w:tc>
      </w:tr>
    </w:tbl>
    <w:p>
      <w:pPr>
        <w:spacing w:after="140"/>
      </w:pPr>
    </w:p>
    <w:p>
      <w:pPr>
        <w:pStyle w:val="Heading3"/>
        <w:keepNext/>
      </w:pPr>
      <w:r>
        <w:rPr>
          <w:rFonts w:ascii="Calibri" w:cs="Calibri" w:eastAsia="Calibri" w:hAnsi="Calibri"/>
        </w:rPr>
        <w:t xml:space="preserve">6.2.5 Project Completion Report (PCR) and NABARD Field Verification</w:t>
      </w:r>
    </w:p>
    <w:p>
      <w:pPr>
        <w:spacing w:after="120" w:line="276"/>
        <w:jc w:val="both"/>
      </w:pPr>
      <w:r>
        <w:rPr>
          <w:rFonts w:ascii="Calibri" w:cs="Calibri" w:eastAsia="Calibri" w:hAnsi="Calibri"/>
        </w:rPr>
        <w:t xml:space="preserve">All documents, reports, field data and records required for the Project Completion Report were compiled and submitted to NABARD in April. On </w:t>
      </w:r>
      <w:r>
        <w:rPr>
          <w:rFonts w:ascii="Calibri" w:cs="Calibri" w:eastAsia="Calibri" w:hAnsi="Calibri"/>
          <w:b/>
          <w:bCs/>
        </w:rPr>
        <w:t xml:space="preserve">20 May 2025</w:t>
      </w:r>
      <w:r>
        <w:rPr>
          <w:rFonts w:ascii="Calibri" w:cs="Calibri" w:eastAsia="Calibri" w:hAnsi="Calibri"/>
        </w:rPr>
        <w:t xml:space="preserve">, Shri Nidhin (NABARD Regional Office, Hyderabad) and Shri Chandrasekhar (DDM, Warangal) conducted a field verification, visiting Bussapur, Rangapur, Oddugudem, Medaram and Narlapur. The officials interacted with farmers, reviewed orchard development and plant condition, and examined survey data, files, bills and records at the project office. The PCR verification process was completed successfully.</w:t>
      </w:r>
    </w:p>
    <w:p>
      <w:pPr>
        <w:pStyle w:val="Heading3"/>
        <w:keepNext/>
      </w:pPr>
      <w:r>
        <w:rPr>
          <w:rFonts w:ascii="Calibri" w:cs="Calibri" w:eastAsia="Calibri" w:hAnsi="Calibri"/>
        </w:rPr>
        <w:t xml:space="preserve">6.2.6 Financial Systems, Livestock Insurance and Record Management</w:t>
      </w:r>
    </w:p>
    <w:p>
      <w:pPr>
        <w:pStyle w:val="ListParagraph"/>
        <w:numPr>
          <w:ilvl w:val="0"/>
          <w:numId w:val="2"/>
        </w:numPr>
        <w:spacing w:after="60" w:line="264"/>
        <w:jc w:val="both"/>
      </w:pPr>
      <w:r>
        <w:rPr>
          <w:rFonts w:ascii="Calibri" w:cs="Calibri" w:eastAsia="Calibri" w:hAnsi="Calibri"/>
          <w:b/>
          <w:bCs/>
        </w:rPr>
        <w:t xml:space="preserve">TDF bank account and CKYC:</w:t>
      </w:r>
      <w:r>
        <w:rPr>
          <w:rFonts w:ascii="Calibri" w:cs="Calibri" w:eastAsia="Calibri" w:hAnsi="Calibri"/>
        </w:rPr>
        <w:t xml:space="preserve"> As the CKYC number for the existing Canara Bank TDF account was unavailable, a new TDF account was opened at Telangana Grameena Bank (TGB), Pasra Nagaram branch, and the CKYC number was obtained, ensuring orderly fund management.</w:t>
      </w:r>
    </w:p>
    <w:p>
      <w:pPr>
        <w:pStyle w:val="ListParagraph"/>
        <w:numPr>
          <w:ilvl w:val="0"/>
          <w:numId w:val="2"/>
        </w:numPr>
        <w:spacing w:after="60" w:line="264"/>
        <w:jc w:val="both"/>
      </w:pPr>
      <w:r>
        <w:rPr>
          <w:rFonts w:ascii="Calibri" w:cs="Calibri" w:eastAsia="Calibri" w:hAnsi="Calibri"/>
          <w:b/>
          <w:bCs/>
        </w:rPr>
        <w:t xml:space="preserve">Livestock insurance:</w:t>
      </w:r>
      <w:r>
        <w:rPr>
          <w:rFonts w:ascii="Calibri" w:cs="Calibri" w:eastAsia="Calibri" w:hAnsi="Calibri"/>
        </w:rPr>
        <w:t xml:space="preserve"> Buffaloes of one livelihood unit each at Rangapur and Chalvai were insured with The New India Assurance Co. Ltd., providing financial security to the livestock owners.</w:t>
      </w:r>
    </w:p>
    <w:p>
      <w:pPr>
        <w:pStyle w:val="ListParagraph"/>
        <w:numPr>
          <w:ilvl w:val="0"/>
          <w:numId w:val="2"/>
        </w:numPr>
        <w:spacing w:after="60" w:line="264"/>
        <w:jc w:val="both"/>
      </w:pPr>
      <w:r>
        <w:rPr>
          <w:rFonts w:ascii="Calibri" w:cs="Calibri" w:eastAsia="Calibri" w:hAnsi="Calibri"/>
          <w:b/>
          <w:bCs/>
        </w:rPr>
        <w:t xml:space="preserve">Records:</w:t>
      </w:r>
      <w:r>
        <w:rPr>
          <w:rFonts w:ascii="Calibri" w:cs="Calibri" w:eastAsia="Calibri" w:hAnsi="Calibri"/>
        </w:rPr>
        <w:t xml:space="preserve"> Project files, bills, farmer data, damage assessments and field reports were updated, filed section-wise and secured at the Pasra field office for monitoring and future reference by NABARD.</w:t>
      </w:r>
    </w:p>
    <w:p>
      <w:pPr>
        <w:spacing w:after="80"/>
      </w:pPr>
    </w:p>
    <w:p>
      <w:pPr>
        <w:pStyle w:val="Heading2"/>
        <w:keepNext/>
      </w:pPr>
      <w:r>
        <w:rPr>
          <w:rFonts w:ascii="Calibri" w:cs="Calibri" w:eastAsia="Calibri" w:hAnsi="Calibri"/>
        </w:rPr>
        <w:t xml:space="preserve">6.3 Medaram Farmer Producer Organisation</w:t>
      </w:r>
    </w:p>
    <w:p>
      <w:pPr>
        <w:spacing w:after="120" w:line="276"/>
        <w:jc w:val="both"/>
      </w:pPr>
      <w:r>
        <w:rPr>
          <w:rFonts w:ascii="Calibri" w:cs="Calibri" w:eastAsia="Calibri" w:hAnsi="Calibri"/>
        </w:rPr>
        <w:t xml:space="preserve">Medaram FPO (Medaram Farmers Producers and Producers Mutually Aided Cooperative Society) was promoted under the TDF project to give the 500 Maa Thota farmers of Phase 2 a collective platform for input supply, aggregation and marketing. 2025–26 was its first full year of operations.</w:t>
      </w:r>
    </w:p>
    <w:p>
      <w:pPr>
        <w:pStyle w:val="Heading3"/>
        <w:keepNext/>
      </w:pPr>
      <w:r>
        <w:rPr>
          <w:rFonts w:ascii="Calibri" w:cs="Calibri" w:eastAsia="Calibri" w:hAnsi="Calibri"/>
        </w:rPr>
        <w:t xml:space="preserve">6.3.1 Institutional Strengthening</w:t>
      </w:r>
    </w:p>
    <w:p>
      <w:pPr>
        <w:pStyle w:val="ListParagraph"/>
        <w:numPr>
          <w:ilvl w:val="0"/>
          <w:numId w:val="2"/>
        </w:numPr>
        <w:spacing w:after="60" w:line="264"/>
        <w:jc w:val="both"/>
      </w:pPr>
      <w:r>
        <w:rPr>
          <w:rFonts w:ascii="Calibri" w:cs="Calibri" w:eastAsia="Calibri" w:hAnsi="Calibri"/>
          <w:b/>
          <w:bCs/>
        </w:rPr>
        <w:t xml:space="preserve">Bank account:</w:t>
      </w:r>
      <w:r>
        <w:rPr>
          <w:rFonts w:ascii="Calibri" w:cs="Calibri" w:eastAsia="Calibri" w:hAnsi="Calibri"/>
        </w:rPr>
        <w:t xml:space="preserve"> A joint bank account in the name of the FPO was opened at TGB, Pasra Nagaram branch, in the first week of April 2025 in the presence of the President Shri Chela Prabhakar, Secretary Smt. Allem Soujanya and CEO Shri Ramesh.</w:t>
      </w:r>
    </w:p>
    <w:p>
      <w:pPr>
        <w:pStyle w:val="ListParagraph"/>
        <w:numPr>
          <w:ilvl w:val="0"/>
          <w:numId w:val="2"/>
        </w:numPr>
        <w:spacing w:after="60" w:line="264"/>
        <w:jc w:val="both"/>
      </w:pPr>
      <w:r>
        <w:rPr>
          <w:rFonts w:ascii="Calibri" w:cs="Calibri" w:eastAsia="Calibri" w:hAnsi="Calibri"/>
          <w:b/>
          <w:bCs/>
        </w:rPr>
        <w:t xml:space="preserve">Member awareness:</w:t>
      </w:r>
      <w:r>
        <w:rPr>
          <w:rFonts w:ascii="Calibri" w:cs="Calibri" w:eastAsia="Calibri" w:hAnsi="Calibri"/>
        </w:rPr>
        <w:t xml:space="preserve"> Awareness meetings were held in </w:t>
      </w:r>
      <w:r>
        <w:rPr>
          <w:rFonts w:ascii="Calibri" w:cs="Calibri" w:eastAsia="Calibri" w:hAnsi="Calibri"/>
          <w:b/>
          <w:bCs/>
        </w:rPr>
        <w:t xml:space="preserve">14 villages</w:t>
      </w:r>
      <w:r>
        <w:rPr>
          <w:rFonts w:ascii="Calibri" w:cs="Calibri" w:eastAsia="Calibri" w:hAnsi="Calibri"/>
        </w:rPr>
        <w:t xml:space="preserve"> – Bussapur, Chalvai, Rangapur, L.B. Nagar and Karlapalli (Govindaraopet) and Oddugudem, Pochapur, Bandala, Narsapur, Bollepalli, Narlapur, Kalvapalli, Kannepalli and Medaram (Tadvai) – on the purpose of the FPO, member rights and duties, share capital, and the benefits of collective aggregation and marketing.</w:t>
      </w:r>
    </w:p>
    <w:p>
      <w:pPr>
        <w:pStyle w:val="ListParagraph"/>
        <w:numPr>
          <w:ilvl w:val="0"/>
          <w:numId w:val="2"/>
        </w:numPr>
        <w:spacing w:after="60" w:line="264"/>
        <w:jc w:val="both"/>
      </w:pPr>
      <w:r>
        <w:rPr>
          <w:rFonts w:ascii="Calibri" w:cs="Calibri" w:eastAsia="Calibri" w:hAnsi="Calibri"/>
          <w:b/>
          <w:bCs/>
        </w:rPr>
        <w:t xml:space="preserve">GST registration:</w:t>
      </w:r>
      <w:r>
        <w:rPr>
          <w:rFonts w:ascii="Calibri" w:cs="Calibri" w:eastAsia="Calibri" w:hAnsi="Calibri"/>
        </w:rPr>
        <w:t xml:space="preserve"> The application was filed in October 2025 and the GST certificate was received on 18 December 2025 (GSTIN: 36AAXAM5730D1ZB).</w:t>
      </w:r>
    </w:p>
    <w:p>
      <w:pPr>
        <w:pStyle w:val="ListParagraph"/>
        <w:numPr>
          <w:ilvl w:val="0"/>
          <w:numId w:val="2"/>
        </w:numPr>
        <w:spacing w:after="60" w:line="264"/>
        <w:jc w:val="both"/>
      </w:pPr>
      <w:r>
        <w:rPr>
          <w:rFonts w:ascii="Calibri" w:cs="Calibri" w:eastAsia="Calibri" w:hAnsi="Calibri"/>
          <w:b/>
          <w:bCs/>
        </w:rPr>
        <w:t xml:space="preserve">Input licences:</w:t>
      </w:r>
      <w:r>
        <w:rPr>
          <w:rFonts w:ascii="Calibri" w:cs="Calibri" w:eastAsia="Calibri" w:hAnsi="Calibri"/>
        </w:rPr>
        <w:t xml:space="preserve"> Applications for fertiliser, pesticide and seed sales licences were submitted in March 2026 and the licences were received in April 2026, enabling the FPO to supply quality inputs to members.</w:t>
      </w:r>
    </w:p>
    <w:p>
      <w:pPr>
        <w:spacing w:after="60"/>
      </w:pPr>
    </w:p>
    <w:p>
      <w:pPr>
        <w:pStyle w:val="Heading3"/>
        <w:keepNext/>
      </w:pPr>
      <w:r>
        <w:rPr>
          <w:rFonts w:ascii="Calibri" w:cs="Calibri" w:eastAsia="Calibri" w:hAnsi="Calibri"/>
        </w:rPr>
        <w:t xml:space="preserve">6.3.2 Share Capital Mobilisation</w:t>
      </w:r>
    </w:p>
    <w:p>
      <w:pPr>
        <w:spacing w:after="120" w:line="276"/>
        <w:jc w:val="both"/>
      </w:pPr>
      <w:r>
        <w:rPr>
          <w:rFonts w:ascii="Calibri" w:cs="Calibri" w:eastAsia="Calibri" w:hAnsi="Calibri"/>
        </w:rPr>
        <w:t xml:space="preserve">Receipts were issued to all members and the amounts were deposited in the FPO’s TGB account by May 2025. Subsequently, on NABARD’s advice, the share value was raised from ₹1,000 to ₹2,000 per member; following awareness meetings in all 14 villages, 40 members contributed an additional ₹1,000 each.</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3938"/>
        <w:gridCol w:w="1700"/>
        <w:gridCol w:w="1300"/>
        <w:gridCol w:w="2000"/>
      </w:tblGrid>
      <w:tr>
        <w:trPr>
          <w:cantSplit/>
          <w:tblHeader/>
        </w:trPr>
        <w:tc>
          <w:tcPr>
            <w:tcW w:type="dxa" w:w="7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9"/>
                <w:szCs w:val="19"/>
              </w:rPr>
              <w:t xml:space="preserve">S.No</w:t>
            </w:r>
          </w:p>
        </w:tc>
        <w:tc>
          <w:tcPr>
            <w:tcW w:type="dxa" w:w="3938"/>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Particulars</w:t>
            </w:r>
          </w:p>
        </w:tc>
        <w:tc>
          <w:tcPr>
            <w:tcW w:type="dxa" w:w="17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9"/>
                <w:szCs w:val="19"/>
              </w:rPr>
              <w:t xml:space="preserve">Per member (₹)</w:t>
            </w:r>
          </w:p>
        </w:tc>
        <w:tc>
          <w:tcPr>
            <w:tcW w:type="dxa" w:w="13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9"/>
                <w:szCs w:val="19"/>
              </w:rPr>
              <w:t xml:space="preserve">Members</w:t>
            </w:r>
          </w:p>
        </w:tc>
        <w:tc>
          <w:tcPr>
            <w:tcW w:type="dxa" w:w="20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9"/>
                <w:szCs w:val="19"/>
              </w:rPr>
              <w:t xml:space="preserve">Amount (₹)</w:t>
            </w:r>
          </w:p>
        </w:tc>
      </w:tr>
      <w:tr>
        <w:trPr>
          <w:cantSplit/>
        </w:trPr>
        <w:tc>
          <w:tcPr>
            <w:tcW w:type="dxa" w:w="7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center"/>
            </w:pPr>
            <w:r>
              <w:rPr>
                <w:rFonts w:ascii="Calibri" w:cs="Calibri" w:eastAsia="Calibri" w:hAnsi="Calibri"/>
                <w:b w:val="false"/>
                <w:bCs w:val="false"/>
                <w:sz w:val="19"/>
                <w:szCs w:val="19"/>
              </w:rPr>
              <w:t xml:space="preserve">1</w:t>
            </w:r>
          </w:p>
        </w:tc>
        <w:tc>
          <w:tcPr>
            <w:tcW w:type="dxa" w:w="39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Share capital</w:t>
            </w:r>
          </w:p>
        </w:tc>
        <w:tc>
          <w:tcPr>
            <w:tcW w:type="dxa" w:w="17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right"/>
            </w:pPr>
            <w:r>
              <w:rPr>
                <w:rFonts w:ascii="Calibri" w:cs="Calibri" w:eastAsia="Calibri" w:hAnsi="Calibri"/>
                <w:b w:val="false"/>
                <w:bCs w:val="false"/>
                <w:sz w:val="19"/>
                <w:szCs w:val="19"/>
              </w:rPr>
              <w:t xml:space="preserve">1,000</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center"/>
            </w:pPr>
            <w:r>
              <w:rPr>
                <w:rFonts w:ascii="Calibri" w:cs="Calibri" w:eastAsia="Calibri" w:hAnsi="Calibri"/>
                <w:b w:val="false"/>
                <w:bCs w:val="false"/>
                <w:sz w:val="19"/>
                <w:szCs w:val="19"/>
              </w:rPr>
              <w:t xml:space="preserve">500</w:t>
            </w:r>
          </w:p>
        </w:tc>
        <w:tc>
          <w:tcPr>
            <w:tcW w:type="dxa" w:w="2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right"/>
            </w:pPr>
            <w:r>
              <w:rPr>
                <w:rFonts w:ascii="Calibri" w:cs="Calibri" w:eastAsia="Calibri" w:hAnsi="Calibri"/>
                <w:b w:val="false"/>
                <w:bCs w:val="false"/>
                <w:sz w:val="19"/>
                <w:szCs w:val="19"/>
              </w:rPr>
              <w:t xml:space="preserve">5,00,000</w:t>
            </w:r>
          </w:p>
        </w:tc>
      </w:tr>
      <w:tr>
        <w:trPr>
          <w:cantSplit/>
        </w:trPr>
        <w:tc>
          <w:tcPr>
            <w:tcW w:type="dxa" w:w="7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2</w:t>
            </w:r>
          </w:p>
        </w:tc>
        <w:tc>
          <w:tcPr>
            <w:tcW w:type="dxa" w:w="39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Membership fee</w:t>
            </w:r>
          </w:p>
        </w:tc>
        <w:tc>
          <w:tcPr>
            <w:tcW w:type="dxa" w:w="17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100</w:t>
            </w:r>
          </w:p>
        </w:tc>
        <w:tc>
          <w:tcPr>
            <w:tcW w:type="dxa" w:w="13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500</w:t>
            </w:r>
          </w:p>
        </w:tc>
        <w:tc>
          <w:tcPr>
            <w:tcW w:type="dxa" w:w="20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50,000</w:t>
            </w:r>
          </w:p>
        </w:tc>
      </w:tr>
      <w:tr>
        <w:trPr>
          <w:cantSplit/>
        </w:trPr>
        <w:tc>
          <w:tcPr>
            <w:tcW w:type="dxa" w:w="7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3</w:t>
            </w:r>
          </w:p>
        </w:tc>
        <w:tc>
          <w:tcPr>
            <w:tcW w:type="dxa" w:w="39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Additional share capital (enhancement to ₹2,000)</w:t>
            </w:r>
          </w:p>
        </w:tc>
        <w:tc>
          <w:tcPr>
            <w:tcW w:type="dxa" w:w="17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1,000</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40</w:t>
            </w:r>
          </w:p>
        </w:tc>
        <w:tc>
          <w:tcPr>
            <w:tcW w:type="dxa" w:w="2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40,000</w:t>
            </w:r>
          </w:p>
        </w:tc>
      </w:tr>
      <w:tr>
        <w:trPr>
          <w:cantSplit/>
        </w:trPr>
        <w:tc>
          <w:tcPr>
            <w:tcW w:type="dxa" w:w="700"/>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center"/>
            </w:pPr>
          </w:p>
        </w:tc>
        <w:tc>
          <w:tcPr>
            <w:tcW w:type="dxa" w:w="3938"/>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bCs/>
                <w:sz w:val="19"/>
                <w:szCs w:val="19"/>
              </w:rPr>
              <w:t xml:space="preserve">Total mobilised</w:t>
            </w:r>
          </w:p>
        </w:tc>
        <w:tc>
          <w:tcPr>
            <w:tcW w:type="dxa" w:w="1700"/>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right"/>
            </w:pPr>
          </w:p>
        </w:tc>
        <w:tc>
          <w:tcPr>
            <w:tcW w:type="dxa" w:w="1300"/>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center"/>
            </w:pPr>
          </w:p>
        </w:tc>
        <w:tc>
          <w:tcPr>
            <w:tcW w:type="dxa" w:w="2000"/>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bCs/>
                <w:sz w:val="19"/>
                <w:szCs w:val="19"/>
              </w:rPr>
              <w:t xml:space="preserve">5,90,000</w:t>
            </w:r>
          </w:p>
        </w:tc>
      </w:tr>
    </w:tbl>
    <w:p>
      <w:pPr>
        <w:spacing w:after="140"/>
      </w:pPr>
    </w:p>
    <w:p>
      <w:pPr>
        <w:pStyle w:val="Heading3"/>
        <w:keepNext/>
      </w:pPr>
      <w:r>
        <w:rPr>
          <w:rFonts w:ascii="Calibri" w:cs="Calibri" w:eastAsia="Calibri" w:hAnsi="Calibri"/>
        </w:rPr>
        <w:t xml:space="preserve">6.3.3 First Business Turnover – Fruit Marketing</w:t>
      </w:r>
    </w:p>
    <w:p>
      <w:pPr>
        <w:spacing w:after="120" w:line="276"/>
        <w:jc w:val="both"/>
      </w:pPr>
      <w:r>
        <w:rPr>
          <w:rFonts w:ascii="Calibri" w:cs="Calibri" w:eastAsia="Calibri" w:hAnsi="Calibri"/>
        </w:rPr>
        <w:t xml:space="preserve">The FPO aggregated and collectively marketed fruit from the Maa Thota orchards of Tadvai and Govindaraopet mandals, reducing the need for individual farmers to search for buyers. Fruit marketing undertaken in March generated a </w:t>
      </w:r>
      <w:r>
        <w:rPr>
          <w:rFonts w:ascii="Calibri" w:cs="Calibri" w:eastAsia="Calibri" w:hAnsi="Calibri"/>
          <w:b/>
          <w:bCs/>
        </w:rPr>
        <w:t xml:space="preserve">turnover of ₹2,00,000</w:t>
      </w:r>
      <w:r>
        <w:rPr>
          <w:rFonts w:ascii="Calibri" w:cs="Calibri" w:eastAsia="Calibri" w:hAnsi="Calibri"/>
        </w:rPr>
        <w:t xml:space="preserve"> – an important first step in building the FPO’s business experience and market linkages.</w:t>
      </w:r>
    </w:p>
    <w:p>
      <w:pPr>
        <w:pStyle w:val="Heading2"/>
        <w:keepNext/>
      </w:pPr>
      <w:r>
        <w:rPr>
          <w:rFonts w:ascii="Calibri" w:cs="Calibri" w:eastAsia="Calibri" w:hAnsi="Calibri"/>
        </w:rPr>
        <w:t xml:space="preserve">6.4 Sammakka Sarakka Farmers Producer Company Ltd. (SSFPCL)</w:t>
      </w:r>
    </w:p>
    <w:p>
      <w:pPr>
        <w:spacing w:after="120" w:line="276"/>
        <w:jc w:val="both"/>
      </w:pPr>
      <w:r>
        <w:rPr>
          <w:rFonts w:ascii="Calibri" w:cs="Calibri" w:eastAsia="Calibri" w:hAnsi="Calibri"/>
        </w:rPr>
        <w:t xml:space="preserve">SSFPCL, formed by the Phase 1 Maa Thota farmers of Govindaraopet mandal, continued to promote tribal products and women’s enterprises.</w:t>
      </w:r>
    </w:p>
    <w:p>
      <w:pPr>
        <w:pStyle w:val="Heading3"/>
        <w:keepNext/>
      </w:pPr>
      <w:r>
        <w:rPr>
          <w:rFonts w:ascii="Calibri" w:cs="Calibri" w:eastAsia="Calibri" w:hAnsi="Calibri"/>
        </w:rPr>
        <w:t xml:space="preserve">6.4.1 Marketing of Tribal Products</w:t>
      </w:r>
    </w:p>
    <w:p>
      <w:pPr>
        <w:spacing w:after="120" w:line="276"/>
        <w:jc w:val="both"/>
      </w:pPr>
      <w:r>
        <w:rPr>
          <w:rFonts w:ascii="Calibri" w:cs="Calibri" w:eastAsia="Calibri" w:hAnsi="Calibri"/>
        </w:rPr>
        <w:t xml:space="preserve">Natural forest honey, pickles and other tribal products made by tribal women and families are sold through the </w:t>
      </w:r>
      <w:r>
        <w:rPr>
          <w:rFonts w:ascii="Calibri" w:cs="Calibri" w:eastAsia="Calibri" w:hAnsi="Calibri"/>
          <w:b/>
          <w:bCs/>
        </w:rPr>
        <w:t xml:space="preserve">Gram Dukan (village shop) at Medaram</w:t>
      </w:r>
      <w:r>
        <w:rPr>
          <w:rFonts w:ascii="Calibri" w:cs="Calibri" w:eastAsia="Calibri" w:hAnsi="Calibri"/>
        </w:rPr>
        <w:t xml:space="preserve">, giving producers a regular outlet and building market recognition for tribal products. With NABARD support, the FPO also set up </w:t>
      </w:r>
      <w:r>
        <w:rPr>
          <w:rFonts w:ascii="Calibri" w:cs="Calibri" w:eastAsia="Calibri" w:hAnsi="Calibri"/>
          <w:b/>
          <w:bCs/>
        </w:rPr>
        <w:t xml:space="preserve">Honey Stalls and Mango Stalls</w:t>
      </w:r>
      <w:r>
        <w:rPr>
          <w:rFonts w:ascii="Calibri" w:cs="Calibri" w:eastAsia="Calibri" w:hAnsi="Calibri"/>
        </w:rPr>
        <w:t xml:space="preserve"> and organised mango festivals to sell Maa Thota mangoes directly to consumers.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2900"/>
        <w:gridCol w:w="2600"/>
        <w:gridCol w:w="3438"/>
      </w:tblGrid>
      <w:tr>
        <w:trPr>
          <w:cantSplit/>
          <w:tblHeader/>
        </w:trPr>
        <w:tc>
          <w:tcPr>
            <w:tcW w:type="dxa" w:w="7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9"/>
                <w:szCs w:val="19"/>
              </w:rPr>
              <w:t xml:space="preserve">S.No</w:t>
            </w:r>
          </w:p>
        </w:tc>
        <w:tc>
          <w:tcPr>
            <w:tcW w:type="dxa" w:w="29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Venue</w:t>
            </w:r>
          </w:p>
        </w:tc>
        <w:tc>
          <w:tcPr>
            <w:tcW w:type="dxa" w:w="26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Dates</w:t>
            </w:r>
          </w:p>
        </w:tc>
        <w:tc>
          <w:tcPr>
            <w:tcW w:type="dxa" w:w="3438"/>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Products sold</w:t>
            </w:r>
          </w:p>
        </w:tc>
      </w:tr>
      <w:tr>
        <w:trPr>
          <w:cantSplit/>
        </w:trPr>
        <w:tc>
          <w:tcPr>
            <w:tcW w:type="dxa" w:w="7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center"/>
            </w:pPr>
            <w:r>
              <w:rPr>
                <w:rFonts w:ascii="Calibri" w:cs="Calibri" w:eastAsia="Calibri" w:hAnsi="Calibri"/>
                <w:b w:val="false"/>
                <w:bCs w:val="false"/>
                <w:sz w:val="19"/>
                <w:szCs w:val="19"/>
              </w:rPr>
              <w:t xml:space="preserve">1</w:t>
            </w:r>
          </w:p>
        </w:tc>
        <w:tc>
          <w:tcPr>
            <w:tcW w:type="dxa" w:w="29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HITEC City, Hyderabad</w:t>
            </w:r>
          </w:p>
        </w:tc>
        <w:tc>
          <w:tcPr>
            <w:tcW w:type="dxa" w:w="2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02–04 September 2025</w:t>
            </w:r>
          </w:p>
        </w:tc>
        <w:tc>
          <w:tcPr>
            <w:tcW w:type="dxa" w:w="34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Natural honey, pickles, tribal products</w:t>
            </w:r>
          </w:p>
        </w:tc>
      </w:tr>
      <w:tr>
        <w:trPr>
          <w:cantSplit/>
        </w:trPr>
        <w:tc>
          <w:tcPr>
            <w:tcW w:type="dxa" w:w="7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val="false"/>
                <w:bCs w:val="false"/>
                <w:sz w:val="19"/>
                <w:szCs w:val="19"/>
              </w:rPr>
              <w:t xml:space="preserve">2</w:t>
            </w:r>
          </w:p>
        </w:tc>
        <w:tc>
          <w:tcPr>
            <w:tcW w:type="dxa" w:w="29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Ameerpet, Hyderabad</w:t>
            </w:r>
          </w:p>
        </w:tc>
        <w:tc>
          <w:tcPr>
            <w:tcW w:type="dxa" w:w="26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08–15 October 2025</w:t>
            </w:r>
          </w:p>
        </w:tc>
        <w:tc>
          <w:tcPr>
            <w:tcW w:type="dxa" w:w="34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Tribal products</w:t>
            </w:r>
          </w:p>
        </w:tc>
      </w:tr>
      <w:tr>
        <w:trPr>
          <w:cantSplit/>
        </w:trPr>
        <w:tc>
          <w:tcPr>
            <w:tcW w:type="dxa" w:w="7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3</w:t>
            </w:r>
          </w:p>
        </w:tc>
        <w:tc>
          <w:tcPr>
            <w:tcW w:type="dxa" w:w="29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Warangal</w:t>
            </w:r>
          </w:p>
        </w:tc>
        <w:tc>
          <w:tcPr>
            <w:tcW w:type="dxa" w:w="2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10–23 November 2025</w:t>
            </w:r>
          </w:p>
        </w:tc>
        <w:tc>
          <w:tcPr>
            <w:tcW w:type="dxa" w:w="34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Natural honey, pickles, mangoes</w:t>
            </w:r>
          </w:p>
        </w:tc>
      </w:tr>
    </w:tbl>
    <w:p>
      <w:pPr>
        <w:spacing w:after="140"/>
      </w:pPr>
    </w:p>
    <w:p>
      <w:pPr>
        <w:pStyle w:val="Heading3"/>
        <w:keepNext/>
      </w:pPr>
      <w:r>
        <w:rPr>
          <w:rFonts w:ascii="Calibri" w:cs="Calibri" w:eastAsia="Calibri" w:hAnsi="Calibri"/>
        </w:rPr>
        <w:t xml:space="preserve">6.4.2 Income from Godown Rent</w:t>
      </w:r>
    </w:p>
    <w:p>
      <w:pPr>
        <w:spacing w:after="120" w:line="276"/>
        <w:jc w:val="both"/>
      </w:pPr>
      <w:r>
        <w:rPr>
          <w:rFonts w:ascii="Calibri" w:cs="Calibri" w:eastAsia="Calibri" w:hAnsi="Calibri"/>
        </w:rPr>
        <w:t xml:space="preserve">The FPO’s godown at Fruit Farm village, Govindaraopet mandal, was rented out, generating additional income for the company. Rent of </w:t>
      </w:r>
      <w:r>
        <w:rPr>
          <w:rFonts w:ascii="Calibri" w:cs="Calibri" w:eastAsia="Calibri" w:hAnsi="Calibri"/>
          <w:b/>
          <w:bCs/>
        </w:rPr>
        <w:t xml:space="preserve">₹40,000</w:t>
      </w:r>
      <w:r>
        <w:rPr>
          <w:rFonts w:ascii="Calibri" w:cs="Calibri" w:eastAsia="Calibri" w:hAnsi="Calibri"/>
        </w:rPr>
        <w:t xml:space="preserve"> was received in four instalments and deposited in the FPO bank account.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4000"/>
        <w:gridCol w:w="4138"/>
      </w:tblGrid>
      <w:tr>
        <w:trPr>
          <w:cantSplit/>
          <w:tblHeader/>
        </w:trPr>
        <w:tc>
          <w:tcPr>
            <w:tcW w:type="dxa" w:w="15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9"/>
                <w:szCs w:val="19"/>
              </w:rPr>
              <w:t xml:space="preserve">S.No</w:t>
            </w:r>
          </w:p>
        </w:tc>
        <w:tc>
          <w:tcPr>
            <w:tcW w:type="dxa" w:w="40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9"/>
                <w:szCs w:val="19"/>
              </w:rPr>
              <w:t xml:space="preserve">Date</w:t>
            </w:r>
          </w:p>
        </w:tc>
        <w:tc>
          <w:tcPr>
            <w:tcW w:type="dxa" w:w="4138"/>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9"/>
                <w:szCs w:val="19"/>
              </w:rPr>
              <w:t xml:space="preserve">Amount (₹)</w:t>
            </w:r>
          </w:p>
        </w:tc>
      </w:tr>
      <w:tr>
        <w:trPr>
          <w:cantSplit/>
        </w:trPr>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center"/>
            </w:pPr>
            <w:r>
              <w:rPr>
                <w:rFonts w:ascii="Calibri" w:cs="Calibri" w:eastAsia="Calibri" w:hAnsi="Calibri"/>
                <w:b w:val="false"/>
                <w:bCs w:val="false"/>
                <w:sz w:val="19"/>
                <w:szCs w:val="19"/>
              </w:rPr>
              <w:t xml:space="preserve">1</w:t>
            </w:r>
          </w:p>
        </w:tc>
        <w:tc>
          <w:tcPr>
            <w:tcW w:type="dxa" w:w="4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center"/>
            </w:pPr>
            <w:r>
              <w:rPr>
                <w:rFonts w:ascii="Calibri" w:cs="Calibri" w:eastAsia="Calibri" w:hAnsi="Calibri"/>
                <w:b w:val="false"/>
                <w:bCs w:val="false"/>
                <w:sz w:val="19"/>
                <w:szCs w:val="19"/>
              </w:rPr>
              <w:t xml:space="preserve">11-07-2025</w:t>
            </w:r>
          </w:p>
        </w:tc>
        <w:tc>
          <w:tcPr>
            <w:tcW w:type="dxa" w:w="41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right"/>
            </w:pPr>
            <w:r>
              <w:rPr>
                <w:rFonts w:ascii="Calibri" w:cs="Calibri" w:eastAsia="Calibri" w:hAnsi="Calibri"/>
                <w:b w:val="false"/>
                <w:bCs w:val="false"/>
                <w:sz w:val="19"/>
                <w:szCs w:val="19"/>
              </w:rPr>
              <w:t xml:space="preserve">10,000</w:t>
            </w:r>
          </w:p>
        </w:tc>
      </w:tr>
      <w:tr>
        <w:trPr>
          <w:cantSplit/>
        </w:trPr>
        <w:tc>
          <w:tcPr>
            <w:tcW w:type="dxa" w:w="15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2</w:t>
            </w:r>
          </w:p>
        </w:tc>
        <w:tc>
          <w:tcPr>
            <w:tcW w:type="dxa" w:w="40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15-07-2025</w:t>
            </w:r>
          </w:p>
        </w:tc>
        <w:tc>
          <w:tcPr>
            <w:tcW w:type="dxa" w:w="41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10,000</w:t>
            </w:r>
          </w:p>
        </w:tc>
      </w:tr>
      <w:tr>
        <w:trPr>
          <w:cantSplit/>
        </w:trPr>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3</w:t>
            </w:r>
          </w:p>
        </w:tc>
        <w:tc>
          <w:tcPr>
            <w:tcW w:type="dxa" w:w="40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03-01-2026</w:t>
            </w:r>
          </w:p>
        </w:tc>
        <w:tc>
          <w:tcPr>
            <w:tcW w:type="dxa" w:w="41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10,000</w:t>
            </w:r>
          </w:p>
        </w:tc>
      </w:tr>
      <w:tr>
        <w:trPr>
          <w:cantSplit/>
        </w:trPr>
        <w:tc>
          <w:tcPr>
            <w:tcW w:type="dxa" w:w="15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4</w:t>
            </w:r>
          </w:p>
        </w:tc>
        <w:tc>
          <w:tcPr>
            <w:tcW w:type="dxa" w:w="40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02-02-2026</w:t>
            </w:r>
          </w:p>
        </w:tc>
        <w:tc>
          <w:tcPr>
            <w:tcW w:type="dxa" w:w="41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10,000</w:t>
            </w:r>
          </w:p>
        </w:tc>
      </w:tr>
      <w:tr>
        <w:trPr>
          <w:cantSplit/>
        </w:trPr>
        <w:tc>
          <w:tcPr>
            <w:tcW w:type="dxa" w:w="1500"/>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center"/>
            </w:pPr>
          </w:p>
        </w:tc>
        <w:tc>
          <w:tcPr>
            <w:tcW w:type="dxa" w:w="4000"/>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bCs/>
                <w:sz w:val="19"/>
                <w:szCs w:val="19"/>
              </w:rPr>
              <w:t xml:space="preserve">Total</w:t>
            </w:r>
          </w:p>
        </w:tc>
        <w:tc>
          <w:tcPr>
            <w:tcW w:type="dxa" w:w="4138"/>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bCs/>
                <w:sz w:val="19"/>
                <w:szCs w:val="19"/>
              </w:rPr>
              <w:t xml:space="preserve">40,000</w:t>
            </w:r>
          </w:p>
        </w:tc>
      </w:tr>
    </w:tbl>
    <w:p>
      <w:pPr>
        <w:spacing w:after="140"/>
      </w:pPr>
    </w:p>
    <w:p>
      <w:pPr>
        <w:pStyle w:val="Heading3"/>
        <w:keepNext/>
      </w:pPr>
      <w:r>
        <w:rPr>
          <w:rFonts w:ascii="Calibri" w:cs="Calibri" w:eastAsia="Calibri" w:hAnsi="Calibri"/>
        </w:rPr>
        <w:t xml:space="preserve">6.4.3 LEDP – Beekeeping and Honey Collection</w:t>
      </w:r>
    </w:p>
    <w:p>
      <w:pPr>
        <w:spacing w:after="120" w:line="276"/>
        <w:jc w:val="both"/>
      </w:pPr>
      <w:r>
        <w:rPr>
          <w:rFonts w:ascii="Calibri" w:cs="Calibri" w:eastAsia="Calibri" w:hAnsi="Calibri"/>
        </w:rPr>
        <w:t xml:space="preserve">Under NABARD’s Livelihood and Enterprise Development Programme (LEDP), </w:t>
      </w:r>
      <w:r>
        <w:rPr>
          <w:rFonts w:ascii="Calibri" w:cs="Calibri" w:eastAsia="Calibri" w:hAnsi="Calibri"/>
          <w:b/>
          <w:bCs/>
        </w:rPr>
        <w:t xml:space="preserve">120 SHG women</w:t>
      </w:r>
      <w:r>
        <w:rPr>
          <w:rFonts w:ascii="Calibri" w:cs="Calibri" w:eastAsia="Calibri" w:hAnsi="Calibri"/>
        </w:rPr>
        <w:t xml:space="preserve"> from four villages were trained in scientific beekeeping and natural honey collection. During the year, the following follow-up actions were completed: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2800"/>
        <w:gridCol w:w="3138"/>
        <w:gridCol w:w="2800"/>
      </w:tblGrid>
      <w:tr>
        <w:trPr>
          <w:cantSplit/>
          <w:tblHeader/>
        </w:trPr>
        <w:tc>
          <w:tcPr>
            <w:tcW w:type="dxa" w:w="9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9"/>
                <w:szCs w:val="19"/>
              </w:rPr>
              <w:t xml:space="preserve">S.No</w:t>
            </w:r>
          </w:p>
        </w:tc>
        <w:tc>
          <w:tcPr>
            <w:tcW w:type="dxa" w:w="28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Mandal</w:t>
            </w:r>
          </w:p>
        </w:tc>
        <w:tc>
          <w:tcPr>
            <w:tcW w:type="dxa" w:w="3138"/>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Village</w:t>
            </w:r>
          </w:p>
        </w:tc>
        <w:tc>
          <w:tcPr>
            <w:tcW w:type="dxa" w:w="28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9"/>
                <w:szCs w:val="19"/>
              </w:rPr>
              <w:t xml:space="preserve">Women trained</w:t>
            </w:r>
          </w:p>
        </w:tc>
      </w:tr>
      <w:tr>
        <w:trPr>
          <w:cantSplit/>
        </w:trPr>
        <w:tc>
          <w:tcPr>
            <w:tcW w:type="dxa" w:w="9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center"/>
            </w:pPr>
            <w:r>
              <w:rPr>
                <w:rFonts w:ascii="Calibri" w:cs="Calibri" w:eastAsia="Calibri" w:hAnsi="Calibri"/>
                <w:b w:val="false"/>
                <w:bCs w:val="false"/>
                <w:sz w:val="19"/>
                <w:szCs w:val="19"/>
              </w:rPr>
              <w:t xml:space="preserve">1</w:t>
            </w:r>
          </w:p>
        </w:tc>
        <w:tc>
          <w:tcPr>
            <w:tcW w:type="dxa" w:w="28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Tadvai</w:t>
            </w:r>
          </w:p>
        </w:tc>
        <w:tc>
          <w:tcPr>
            <w:tcW w:type="dxa" w:w="31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Oddugudem</w:t>
            </w:r>
          </w:p>
        </w:tc>
        <w:tc>
          <w:tcPr>
            <w:tcW w:type="dxa" w:w="28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center"/>
            </w:pPr>
            <w:r>
              <w:rPr>
                <w:rFonts w:ascii="Calibri" w:cs="Calibri" w:eastAsia="Calibri" w:hAnsi="Calibri"/>
                <w:b w:val="false"/>
                <w:bCs w:val="false"/>
                <w:sz w:val="19"/>
                <w:szCs w:val="19"/>
              </w:rPr>
              <w:t xml:space="preserve">37</w:t>
            </w:r>
          </w:p>
        </w:tc>
      </w:tr>
      <w:tr>
        <w:trPr>
          <w:cantSplit/>
        </w:trPr>
        <w:tc>
          <w:tcPr>
            <w:tcW w:type="dxa" w:w="9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2</w:t>
            </w:r>
          </w:p>
        </w:tc>
        <w:tc>
          <w:tcPr>
            <w:tcW w:type="dxa" w:w="28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Tadvai</w:t>
            </w:r>
          </w:p>
        </w:tc>
        <w:tc>
          <w:tcPr>
            <w:tcW w:type="dxa" w:w="31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Bollepalli</w:t>
            </w:r>
          </w:p>
        </w:tc>
        <w:tc>
          <w:tcPr>
            <w:tcW w:type="dxa" w:w="28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30</w:t>
            </w:r>
          </w:p>
        </w:tc>
      </w:tr>
      <w:tr>
        <w:trPr>
          <w:cantSplit/>
        </w:trPr>
        <w:tc>
          <w:tcPr>
            <w:tcW w:type="dxa" w:w="9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3</w:t>
            </w:r>
          </w:p>
        </w:tc>
        <w:tc>
          <w:tcPr>
            <w:tcW w:type="dxa" w:w="28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Govindaraopet</w:t>
            </w:r>
          </w:p>
        </w:tc>
        <w:tc>
          <w:tcPr>
            <w:tcW w:type="dxa" w:w="31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Tappamancha</w:t>
            </w:r>
          </w:p>
        </w:tc>
        <w:tc>
          <w:tcPr>
            <w:tcW w:type="dxa" w:w="28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36</w:t>
            </w:r>
          </w:p>
        </w:tc>
      </w:tr>
      <w:tr>
        <w:trPr>
          <w:cantSplit/>
        </w:trPr>
        <w:tc>
          <w:tcPr>
            <w:tcW w:type="dxa" w:w="9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4</w:t>
            </w:r>
          </w:p>
        </w:tc>
        <w:tc>
          <w:tcPr>
            <w:tcW w:type="dxa" w:w="28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Govindaraopet</w:t>
            </w:r>
          </w:p>
        </w:tc>
        <w:tc>
          <w:tcPr>
            <w:tcW w:type="dxa" w:w="31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Project Nagar</w:t>
            </w:r>
          </w:p>
        </w:tc>
        <w:tc>
          <w:tcPr>
            <w:tcW w:type="dxa" w:w="28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17</w:t>
            </w:r>
          </w:p>
        </w:tc>
      </w:tr>
      <w:tr>
        <w:trPr>
          <w:cantSplit/>
        </w:trPr>
        <w:tc>
          <w:tcPr>
            <w:tcW w:type="dxa" w:w="900"/>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center"/>
            </w:pPr>
          </w:p>
        </w:tc>
        <w:tc>
          <w:tcPr>
            <w:tcW w:type="dxa" w:w="2800"/>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bCs/>
                <w:sz w:val="19"/>
                <w:szCs w:val="19"/>
              </w:rPr>
              <w:t xml:space="preserve">Total</w:t>
            </w:r>
          </w:p>
        </w:tc>
        <w:tc>
          <w:tcPr>
            <w:tcW w:type="dxa" w:w="3138"/>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bCs/>
                <w:sz w:val="19"/>
                <w:szCs w:val="19"/>
              </w:rPr>
              <w:t xml:space="preserve">4 villages</w:t>
            </w:r>
          </w:p>
        </w:tc>
        <w:tc>
          <w:tcPr>
            <w:tcW w:type="dxa" w:w="2800"/>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bCs/>
                <w:sz w:val="19"/>
                <w:szCs w:val="19"/>
              </w:rPr>
              <w:t xml:space="preserve">120</w:t>
            </w:r>
          </w:p>
        </w:tc>
      </w:tr>
    </w:tbl>
    <w:p>
      <w:pPr>
        <w:spacing w:after="140"/>
      </w:pPr>
    </w:p>
    <w:p>
      <w:pPr>
        <w:pStyle w:val="ListParagraph"/>
        <w:numPr>
          <w:ilvl w:val="0"/>
          <w:numId w:val="2"/>
        </w:numPr>
        <w:spacing w:after="60" w:line="264"/>
        <w:jc w:val="both"/>
      </w:pPr>
      <w:r>
        <w:rPr>
          <w:rFonts w:ascii="Calibri" w:cs="Calibri" w:eastAsia="Calibri" w:hAnsi="Calibri"/>
          <w:b/>
          <w:bCs/>
        </w:rPr>
        <w:t xml:space="preserve">Certification:</w:t>
      </w:r>
      <w:r>
        <w:rPr>
          <w:rFonts w:ascii="Calibri" w:cs="Calibri" w:eastAsia="Calibri" w:hAnsi="Calibri"/>
        </w:rPr>
        <w:t xml:space="preserve"> Certificates signed and sealed by Shri Ravi, DDM, NABARD, were distributed to all 120 trained women.</w:t>
      </w:r>
    </w:p>
    <w:p>
      <w:pPr>
        <w:pStyle w:val="ListParagraph"/>
        <w:numPr>
          <w:ilvl w:val="0"/>
          <w:numId w:val="2"/>
        </w:numPr>
        <w:spacing w:after="60" w:line="264"/>
        <w:jc w:val="both"/>
      </w:pPr>
      <w:r>
        <w:rPr>
          <w:rFonts w:ascii="Calibri" w:cs="Calibri" w:eastAsia="Calibri" w:hAnsi="Calibri"/>
          <w:b/>
          <w:bCs/>
        </w:rPr>
        <w:t xml:space="preserve">Stipend:</w:t>
      </w:r>
      <w:r>
        <w:rPr>
          <w:rFonts w:ascii="Calibri" w:cs="Calibri" w:eastAsia="Calibri" w:hAnsi="Calibri"/>
        </w:rPr>
        <w:t xml:space="preserve"> A stipend of ₹350 per participant (₹42,000 in total) was transferred directly to the women’s bank accounts, with complete documentation.</w:t>
      </w:r>
    </w:p>
    <w:p>
      <w:pPr>
        <w:pStyle w:val="ListParagraph"/>
        <w:numPr>
          <w:ilvl w:val="0"/>
          <w:numId w:val="2"/>
        </w:numPr>
        <w:spacing w:after="60" w:line="264"/>
        <w:jc w:val="both"/>
      </w:pPr>
      <w:r>
        <w:rPr>
          <w:rFonts w:ascii="Calibri" w:cs="Calibri" w:eastAsia="Calibri" w:hAnsi="Calibri"/>
          <w:b/>
          <w:bCs/>
        </w:rPr>
        <w:t xml:space="preserve">Credit linkage:</w:t>
      </w:r>
      <w:r>
        <w:rPr>
          <w:rFonts w:ascii="Calibri" w:cs="Calibri" w:eastAsia="Calibri" w:hAnsi="Calibri"/>
        </w:rPr>
        <w:t xml:space="preserve"> With support from Shri Nageswar Rao, IKP APM, Govindaraopet, 50 SHG women of Project Nagar and Tappamancha were facilitated for bank loans totalling </w:t>
      </w:r>
      <w:r>
        <w:rPr>
          <w:rFonts w:ascii="Calibri" w:cs="Calibri" w:eastAsia="Calibri" w:hAnsi="Calibri"/>
          <w:b/>
          <w:bCs/>
        </w:rPr>
        <w:t xml:space="preserve">₹30 lakh</w:t>
      </w:r>
      <w:r>
        <w:rPr>
          <w:rFonts w:ascii="Calibri" w:cs="Calibri" w:eastAsia="Calibri" w:hAnsi="Calibri"/>
        </w:rPr>
        <w:t xml:space="preserve">; details of eligible women were submitted to NABARD.</w:t>
      </w:r>
    </w:p>
    <w:p>
      <w:pPr>
        <w:pStyle w:val="ListParagraph"/>
        <w:numPr>
          <w:ilvl w:val="0"/>
          <w:numId w:val="2"/>
        </w:numPr>
        <w:spacing w:after="60" w:line="264"/>
        <w:jc w:val="both"/>
      </w:pPr>
      <w:r>
        <w:rPr>
          <w:rFonts w:ascii="Calibri" w:cs="Calibri" w:eastAsia="Calibri" w:hAnsi="Calibri"/>
          <w:b/>
          <w:bCs/>
        </w:rPr>
        <w:t xml:space="preserve">Second tranche:</w:t>
      </w:r>
      <w:r>
        <w:rPr>
          <w:rFonts w:ascii="Calibri" w:cs="Calibri" w:eastAsia="Calibri" w:hAnsi="Calibri"/>
        </w:rPr>
        <w:t xml:space="preserve"> An application for release of the second tranche of </w:t>
      </w:r>
      <w:r>
        <w:rPr>
          <w:rFonts w:ascii="Calibri" w:cs="Calibri" w:eastAsia="Calibri" w:hAnsi="Calibri"/>
          <w:b/>
          <w:bCs/>
        </w:rPr>
        <w:t xml:space="preserve">₹5,50,240</w:t>
      </w:r>
      <w:r>
        <w:rPr>
          <w:rFonts w:ascii="Calibri" w:cs="Calibri" w:eastAsia="Calibri" w:hAnsi="Calibri"/>
        </w:rPr>
        <w:t xml:space="preserve"> was prepared and submitted to NABARD.</w:t>
      </w:r>
    </w:p>
    <w:p>
      <w:pPr>
        <w:spacing w:after="80"/>
      </w:pPr>
    </w:p>
    <w:p>
      <w:pPr>
        <w:pStyle w:val="Heading2"/>
        <w:keepNext/>
      </w:pPr>
      <w:r>
        <w:rPr>
          <w:rFonts w:ascii="Calibri" w:cs="Calibri" w:eastAsia="Calibri" w:hAnsi="Calibri"/>
        </w:rPr>
        <w:t xml:space="preserve">6.5 Natural Farming Project – Azim Premji Foundation (APF)</w:t>
      </w:r>
    </w:p>
    <w:p>
      <w:pPr>
        <w:spacing w:after="120" w:line="276"/>
        <w:jc w:val="both"/>
      </w:pPr>
      <w:r>
        <w:rPr>
          <w:rFonts w:ascii="Calibri" w:cs="Calibri" w:eastAsia="Calibri" w:hAnsi="Calibri"/>
        </w:rPr>
        <w:t xml:space="preserve">In partnership with Azim Premji Foundation, Vanasamakhya launched a project to </w:t>
      </w:r>
      <w:r>
        <w:rPr>
          <w:rFonts w:ascii="Calibri" w:cs="Calibri" w:eastAsia="Calibri" w:hAnsi="Calibri"/>
          <w:b/>
          <w:bCs/>
        </w:rPr>
        <w:t xml:space="preserve">enhance the income of small and marginal farmers, primarily from ST and SC communities, by reducing cultivation costs for paddy, cotton and maize</w:t>
      </w:r>
      <w:r>
        <w:rPr>
          <w:rFonts w:ascii="Calibri" w:cs="Calibri" w:eastAsia="Calibri" w:hAnsi="Calibri"/>
        </w:rPr>
        <w:t xml:space="preserve"> through improved farming practices, and to ensure that eligible families access welfare entitlements. The project covers five villages in four Gram Panchayats of Govindaraopet mandal: Rangapuram, Sandragudem, Balajinagar, Karlapalli and Lakshmipuram. A grant of ₹14.24 lakh was received during the year.</w:t>
      </w:r>
    </w:p>
    <w:p>
      <w:pPr>
        <w:pStyle w:val="Heading3"/>
        <w:keepNext/>
      </w:pPr>
      <w:r>
        <w:rPr>
          <w:rFonts w:ascii="Calibri" w:cs="Calibri" w:eastAsia="Calibri" w:hAnsi="Calibri"/>
        </w:rPr>
        <w:t xml:space="preserve">6.5.1 Awareness Programmes</w:t>
      </w:r>
    </w:p>
    <w:p>
      <w:pPr>
        <w:spacing w:after="120" w:line="276"/>
        <w:jc w:val="both"/>
      </w:pPr>
      <w:r>
        <w:rPr>
          <w:rFonts w:ascii="Calibri" w:cs="Calibri" w:eastAsia="Calibri" w:hAnsi="Calibri"/>
        </w:rPr>
        <w:t xml:space="preserve">In January and February 2026, awareness programmes were held in all five villages on the objectives of the project and the benefits of natural farming – gradually reducing chemical fertilisers and pesticides, low-cost cultivation, improving soil health, and protecting the environment. Farmers were also informed about government welfare and agriculture schemes and encouraged to apply for their entitlements.</w:t>
      </w:r>
    </w:p>
    <w:p>
      <w:pPr>
        <w:pStyle w:val="Heading3"/>
        <w:keepNext/>
      </w:pPr>
      <w:r>
        <w:rPr>
          <w:rFonts w:ascii="Calibri" w:cs="Calibri" w:eastAsia="Calibri" w:hAnsi="Calibri"/>
        </w:rPr>
        <w:t xml:space="preserve">6.5.2 Baseline Survey</w:t>
      </w:r>
    </w:p>
    <w:p>
      <w:pPr>
        <w:spacing w:after="120" w:line="276"/>
        <w:jc w:val="both"/>
      </w:pPr>
      <w:r>
        <w:rPr>
          <w:rFonts w:ascii="Calibri" w:cs="Calibri" w:eastAsia="Calibri" w:hAnsi="Calibri"/>
        </w:rPr>
        <w:t xml:space="preserve">A baseline survey was completed across the project villages, covering current crops and practices, cultivation costs, awareness of natural farming, land holdings, forest rights titles (RoFR/IFR) and access to welfare schemes. The baseline provides the foundation for planning trainings, tailoring field activities to farmers’ needs and linking eligible farmers with government schemes.</w:t>
      </w:r>
    </w:p>
    <w:p>
      <w:pPr>
        <w:pStyle w:val="Heading2"/>
        <w:keepNext/>
      </w:pPr>
      <w:r>
        <w:rPr>
          <w:rFonts w:ascii="Calibri" w:cs="Calibri" w:eastAsia="Calibri" w:hAnsi="Calibri"/>
        </w:rPr>
        <w:t xml:space="preserve">6.6 Skill Development and Livelihood Enhancement Programme (CRPF)</w:t>
      </w:r>
    </w:p>
    <w:p>
      <w:pPr>
        <w:spacing w:after="120" w:line="276"/>
        <w:jc w:val="both"/>
      </w:pPr>
      <w:r>
        <w:rPr>
          <w:rFonts w:ascii="Calibri" w:cs="Calibri" w:eastAsia="Calibri" w:hAnsi="Calibri"/>
        </w:rPr>
        <w:t xml:space="preserve">With the support of the </w:t>
      </w:r>
      <w:r>
        <w:rPr>
          <w:rFonts w:ascii="Calibri" w:cs="Calibri" w:eastAsia="Calibri" w:hAnsi="Calibri"/>
          <w:b/>
          <w:bCs/>
        </w:rPr>
        <w:t xml:space="preserve">CRPF 39th Battalion</w:t>
      </w:r>
      <w:r>
        <w:rPr>
          <w:rFonts w:ascii="Calibri" w:cs="Calibri" w:eastAsia="Calibri" w:hAnsi="Calibri"/>
        </w:rPr>
        <w:t xml:space="preserve"> under its Civic Action Programme, Vanasamakhya implemented a month-long skill development programme in </w:t>
      </w:r>
      <w:r>
        <w:rPr>
          <w:rFonts w:ascii="Calibri" w:cs="Calibri" w:eastAsia="Calibri" w:hAnsi="Calibri"/>
          <w:b/>
          <w:bCs/>
        </w:rPr>
        <w:t xml:space="preserve">Venkatapuram and Wazedu mandals</w:t>
      </w:r>
      <w:r>
        <w:rPr>
          <w:rFonts w:ascii="Calibri" w:cs="Calibri" w:eastAsia="Calibri" w:hAnsi="Calibri"/>
        </w:rPr>
        <w:t xml:space="preserve"> from </w:t>
      </w:r>
      <w:r>
        <w:rPr>
          <w:rFonts w:ascii="Calibri" w:cs="Calibri" w:eastAsia="Calibri" w:hAnsi="Calibri"/>
          <w:b/>
          <w:bCs/>
        </w:rPr>
        <w:t xml:space="preserve">30 December 2025 to 31 January 2026</w:t>
      </w:r>
      <w:r>
        <w:rPr>
          <w:rFonts w:ascii="Calibri" w:cs="Calibri" w:eastAsia="Calibri" w:hAnsi="Calibri"/>
        </w:rPr>
        <w:t xml:space="preserve">. The programme addressed unemployment, under-employment and distress migration among youth and women in these remote tribal mandals.</w:t>
      </w:r>
    </w:p>
    <w:p>
      <w:pPr>
        <w:spacing w:after="120" w:line="276"/>
        <w:jc w:val="both"/>
      </w:pPr>
      <w:r>
        <w:rPr>
          <w:rFonts w:ascii="Calibri" w:cs="Calibri" w:eastAsia="Calibri" w:hAnsi="Calibri"/>
          <w:b/>
          <w:bCs/>
        </w:rPr>
        <w:t xml:space="preserve">125 unemployed and under-employed men and women</w:t>
      </w:r>
      <w:r>
        <w:rPr>
          <w:rFonts w:ascii="Calibri" w:cs="Calibri" w:eastAsia="Calibri" w:hAnsi="Calibri"/>
        </w:rPr>
        <w:t xml:space="preserve"> were trained in five market-relevant trades. About 90% of participants were from Scheduled Tribe communities and the rest from SC and BC households; around 70% had completed secondary education and 30% were graduates. Training combined projector-based theory, digital learning platforms, intensive hands-on practice and field exposure, followed by theory and practical examinations.</w:t>
      </w:r>
    </w:p>
    <w:tbl>
      <w:tblPr>
        <w:tblW w:type="dxa" w:w="9636"/>
        <w:tblBorders>
          <w:top w:val="none" w:color="FFFFFF" w:sz="0"/>
          <w:left w:val="none" w:color="FFFFFF" w:sz="0"/>
          <w:bottom w:val="none" w:color="FFFFFF" w:sz="0"/>
          <w:right w:val="none" w:color="FFFFFF" w:sz="0"/>
          <w:insideH w:val="none" w:color="FFFFFF" w:sz="0"/>
          <w:insideV w:val="none" w:color="FFFFFF" w:sz="0"/>
        </w:tblBorders>
      </w:tblPr>
      <w:tblGrid>
        <w:gridCol w:w="3212"/>
        <w:gridCol w:w="3212"/>
        <w:gridCol w:w="3212"/>
      </w:tblGrid>
      <w:tr>
        <w:trPr>
          <w:cantSplit/>
        </w:trPr>
        <w:tc>
          <w:tcPr>
            <w:tcW w:type="dxa" w:w="3212"/>
            <w:tcBorders>
              <w:top w:val="none" w:color="FFFFFF" w:sz="0"/>
              <w:left w:val="none" w:color="FFFFFF" w:sz="0"/>
              <w:bottom w:val="none" w:color="FFFFFF" w:sz="0"/>
              <w:right w:val="none" w:color="FFFFFF" w:sz="0"/>
            </w:tcBorders>
            <w:tcMar>
              <w:left w:type="dxa" w:w="50"/>
              <w:right w:type="dxa" w:w="50"/>
            </w:tcMar>
          </w:tcPr>
          <w:p>
            <w:pPr>
              <w:jc w:val="center"/>
            </w:pPr>
            <w:r>
              <w:drawing>
                <wp:inline distT="0" distB="0" distL="0" distR="0">
                  <wp:extent cx="1809750" cy="1219200"/>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809750" cy="1219200"/>
                          </a:xfrm>
                          <a:prstGeom prst="rect">
                            <a:avLst/>
                          </a:prstGeom>
                        </pic:spPr>
                      </pic:pic>
                    </a:graphicData>
                  </a:graphic>
                </wp:inline>
              </w:drawing>
            </w:r>
          </w:p>
          <w:p>
            <w:pPr>
              <w:spacing w:after="120" w:before="40"/>
              <w:jc w:val="center"/>
            </w:pPr>
            <w:r>
              <w:rPr>
                <w:rFonts w:ascii="Calibri" w:cs="Calibri" w:eastAsia="Calibri" w:hAnsi="Calibri"/>
                <w:i/>
                <w:iCs/>
                <w:color w:val="595959"/>
                <w:sz w:val="18"/>
                <w:szCs w:val="18"/>
              </w:rPr>
              <w:t xml:space="preserve">Programme inauguration with CRPF</w:t>
            </w:r>
          </w:p>
        </w:tc>
        <w:tc>
          <w:tcPr>
            <w:tcW w:type="dxa" w:w="3212"/>
            <w:tcBorders>
              <w:top w:val="none" w:color="FFFFFF" w:sz="0"/>
              <w:left w:val="none" w:color="FFFFFF" w:sz="0"/>
              <w:bottom w:val="none" w:color="FFFFFF" w:sz="0"/>
              <w:right w:val="none" w:color="FFFFFF" w:sz="0"/>
            </w:tcBorders>
            <w:tcMar>
              <w:left w:type="dxa" w:w="50"/>
              <w:right w:type="dxa" w:w="50"/>
            </w:tcMar>
          </w:tcPr>
          <w:p>
            <w:pPr>
              <w:jc w:val="center"/>
            </w:pPr>
            <w:r>
              <w:drawing>
                <wp:inline distT="0" distB="0" distL="0" distR="0">
                  <wp:extent cx="1809750" cy="12192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1809750" cy="1219200"/>
                          </a:xfrm>
                          <a:prstGeom prst="rect">
                            <a:avLst/>
                          </a:prstGeom>
                        </pic:spPr>
                      </pic:pic>
                    </a:graphicData>
                  </a:graphic>
                </wp:inline>
              </w:drawing>
            </w:r>
          </w:p>
          <w:p>
            <w:pPr>
              <w:spacing w:after="120" w:before="40"/>
              <w:jc w:val="center"/>
            </w:pPr>
            <w:r>
              <w:rPr>
                <w:rFonts w:ascii="Calibri" w:cs="Calibri" w:eastAsia="Calibri" w:hAnsi="Calibri"/>
                <w:i/>
                <w:iCs/>
                <w:color w:val="595959"/>
                <w:sz w:val="18"/>
                <w:szCs w:val="18"/>
              </w:rPr>
              <w:t xml:space="preserve">Tailoring training for women</w:t>
            </w:r>
          </w:p>
        </w:tc>
        <w:tc>
          <w:tcPr>
            <w:tcW w:type="dxa" w:w="3212"/>
            <w:tcBorders>
              <w:top w:val="none" w:color="FFFFFF" w:sz="0"/>
              <w:left w:val="none" w:color="FFFFFF" w:sz="0"/>
              <w:bottom w:val="none" w:color="FFFFFF" w:sz="0"/>
              <w:right w:val="none" w:color="FFFFFF" w:sz="0"/>
            </w:tcBorders>
            <w:tcMar>
              <w:left w:type="dxa" w:w="50"/>
              <w:right w:type="dxa" w:w="50"/>
            </w:tcMar>
          </w:tcPr>
          <w:p>
            <w:pPr>
              <w:jc w:val="center"/>
            </w:pPr>
            <w:r>
              <w:drawing>
                <wp:inline distT="0" distB="0" distL="0" distR="0">
                  <wp:extent cx="1809750" cy="12192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1809750" cy="1219200"/>
                          </a:xfrm>
                          <a:prstGeom prst="rect">
                            <a:avLst/>
                          </a:prstGeom>
                        </pic:spPr>
                      </pic:pic>
                    </a:graphicData>
                  </a:graphic>
                </wp:inline>
              </w:drawing>
            </w:r>
          </w:p>
          <w:p>
            <w:pPr>
              <w:spacing w:after="120" w:before="40"/>
              <w:jc w:val="center"/>
            </w:pPr>
            <w:r>
              <w:rPr>
                <w:rFonts w:ascii="Calibri" w:cs="Calibri" w:eastAsia="Calibri" w:hAnsi="Calibri"/>
                <w:i/>
                <w:iCs/>
                <w:color w:val="595959"/>
                <w:sz w:val="18"/>
                <w:szCs w:val="18"/>
              </w:rPr>
              <w:t xml:space="preserve">Solar installation practical</w:t>
            </w:r>
          </w:p>
        </w:tc>
      </w:tr>
    </w:tbl>
    <w:p>
      <w:pPr>
        <w:spacing w:after="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2600"/>
        <w:gridCol w:w="1300"/>
        <w:gridCol w:w="5038"/>
      </w:tblGrid>
      <w:tr>
        <w:trPr>
          <w:cantSplit/>
          <w:tblHeader/>
        </w:trPr>
        <w:tc>
          <w:tcPr>
            <w:tcW w:type="dxa" w:w="7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9"/>
                <w:szCs w:val="19"/>
              </w:rPr>
              <w:t xml:space="preserve">S.No</w:t>
            </w:r>
          </w:p>
        </w:tc>
        <w:tc>
          <w:tcPr>
            <w:tcW w:type="dxa" w:w="26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Trade</w:t>
            </w:r>
          </w:p>
        </w:tc>
        <w:tc>
          <w:tcPr>
            <w:tcW w:type="dxa" w:w="13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9"/>
                <w:szCs w:val="19"/>
              </w:rPr>
              <w:t xml:space="preserve">Participants</w:t>
            </w:r>
          </w:p>
        </w:tc>
        <w:tc>
          <w:tcPr>
            <w:tcW w:type="dxa" w:w="5038"/>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Key skills acquired</w:t>
            </w:r>
          </w:p>
        </w:tc>
      </w:tr>
      <w:tr>
        <w:trPr>
          <w:cantSplit/>
        </w:trPr>
        <w:tc>
          <w:tcPr>
            <w:tcW w:type="dxa" w:w="7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center"/>
            </w:pPr>
            <w:r>
              <w:rPr>
                <w:rFonts w:ascii="Calibri" w:cs="Calibri" w:eastAsia="Calibri" w:hAnsi="Calibri"/>
                <w:b w:val="false"/>
                <w:bCs w:val="false"/>
                <w:sz w:val="19"/>
                <w:szCs w:val="19"/>
              </w:rPr>
              <w:t xml:space="preserve">1</w:t>
            </w:r>
          </w:p>
        </w:tc>
        <w:tc>
          <w:tcPr>
            <w:tcW w:type="dxa" w:w="2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Electrician</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center"/>
            </w:pPr>
            <w:r>
              <w:rPr>
                <w:rFonts w:ascii="Calibri" w:cs="Calibri" w:eastAsia="Calibri" w:hAnsi="Calibri"/>
                <w:b w:val="false"/>
                <w:bCs w:val="false"/>
                <w:sz w:val="19"/>
                <w:szCs w:val="19"/>
              </w:rPr>
              <w:t xml:space="preserve">25</w:t>
            </w:r>
          </w:p>
        </w:tc>
        <w:tc>
          <w:tcPr>
            <w:tcW w:type="dxa" w:w="50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Domestic and small commercial wiring, fixtures, testing tools, fault diagnosis, safety</w:t>
            </w:r>
          </w:p>
        </w:tc>
      </w:tr>
      <w:tr>
        <w:trPr>
          <w:cantSplit/>
        </w:trPr>
        <w:tc>
          <w:tcPr>
            <w:tcW w:type="dxa" w:w="7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2</w:t>
            </w:r>
          </w:p>
        </w:tc>
        <w:tc>
          <w:tcPr>
            <w:tcW w:type="dxa" w:w="26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Solar Installation Technician</w:t>
            </w:r>
          </w:p>
        </w:tc>
        <w:tc>
          <w:tcPr>
            <w:tcW w:type="dxa" w:w="13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25</w:t>
            </w:r>
          </w:p>
        </w:tc>
        <w:tc>
          <w:tcPr>
            <w:tcW w:type="dxa" w:w="50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Panel mounting, inverter wiring, commissioning, troubleshooting, maintenance</w:t>
            </w:r>
          </w:p>
        </w:tc>
      </w:tr>
      <w:tr>
        <w:trPr>
          <w:cantSplit/>
        </w:trPr>
        <w:tc>
          <w:tcPr>
            <w:tcW w:type="dxa" w:w="7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3</w:t>
            </w:r>
          </w:p>
        </w:tc>
        <w:tc>
          <w:tcPr>
            <w:tcW w:type="dxa" w:w="2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Computer Repairing</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25</w:t>
            </w:r>
          </w:p>
        </w:tc>
        <w:tc>
          <w:tcPr>
            <w:tcW w:type="dxa" w:w="50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Assembly, OS installation, software troubleshooting, basic networking</w:t>
            </w:r>
          </w:p>
        </w:tc>
      </w:tr>
      <w:tr>
        <w:trPr>
          <w:cantSplit/>
        </w:trPr>
        <w:tc>
          <w:tcPr>
            <w:tcW w:type="dxa" w:w="7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4</w:t>
            </w:r>
          </w:p>
        </w:tc>
        <w:tc>
          <w:tcPr>
            <w:tcW w:type="dxa" w:w="26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Mobile Repairing</w:t>
            </w:r>
          </w:p>
        </w:tc>
        <w:tc>
          <w:tcPr>
            <w:tcW w:type="dxa" w:w="13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25</w:t>
            </w:r>
          </w:p>
        </w:tc>
        <w:tc>
          <w:tcPr>
            <w:tcW w:type="dxa" w:w="50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Hardware diagnostics, component replacement, software issues</w:t>
            </w:r>
          </w:p>
        </w:tc>
      </w:tr>
      <w:tr>
        <w:trPr>
          <w:cantSplit/>
        </w:trPr>
        <w:tc>
          <w:tcPr>
            <w:tcW w:type="dxa" w:w="7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5</w:t>
            </w:r>
          </w:p>
        </w:tc>
        <w:tc>
          <w:tcPr>
            <w:tcW w:type="dxa" w:w="2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Tailoring (women only)</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25</w:t>
            </w:r>
          </w:p>
        </w:tc>
        <w:tc>
          <w:tcPr>
            <w:tcW w:type="dxa" w:w="50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Measurement, cutting, stitching, finishing; design exposure via digital platforms</w:t>
            </w:r>
          </w:p>
        </w:tc>
      </w:tr>
      <w:tr>
        <w:trPr>
          <w:cantSplit/>
        </w:trPr>
        <w:tc>
          <w:tcPr>
            <w:tcW w:type="dxa" w:w="700"/>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center"/>
            </w:pPr>
          </w:p>
        </w:tc>
        <w:tc>
          <w:tcPr>
            <w:tcW w:type="dxa" w:w="2600"/>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bCs/>
                <w:sz w:val="19"/>
                <w:szCs w:val="19"/>
              </w:rPr>
              <w:t xml:space="preserve">Total</w:t>
            </w:r>
          </w:p>
        </w:tc>
        <w:tc>
          <w:tcPr>
            <w:tcW w:type="dxa" w:w="1300"/>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bCs/>
                <w:sz w:val="19"/>
                <w:szCs w:val="19"/>
              </w:rPr>
              <w:t xml:space="preserve">125</w:t>
            </w:r>
          </w:p>
        </w:tc>
        <w:tc>
          <w:tcPr>
            <w:tcW w:type="dxa" w:w="5038"/>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left"/>
            </w:pPr>
          </w:p>
        </w:tc>
      </w:tr>
    </w:tbl>
    <w:p>
      <w:pPr>
        <w:spacing w:after="140"/>
      </w:pPr>
    </w:p>
    <w:p>
      <w:pPr>
        <w:keepNext/>
        <w:spacing w:after="80" w:before="120"/>
      </w:pPr>
      <w:r>
        <w:rPr>
          <w:rFonts w:ascii="Calibri" w:cs="Calibri" w:eastAsia="Calibri" w:hAnsi="Calibri"/>
          <w:b/>
          <w:bCs/>
          <w:color w:val="14502A"/>
          <w:sz w:val="22"/>
          <w:szCs w:val="22"/>
        </w:rPr>
        <w:t xml:space="preserve">Outcomes</w:t>
      </w:r>
    </w:p>
    <w:p>
      <w:pPr>
        <w:pStyle w:val="ListParagraph"/>
        <w:numPr>
          <w:ilvl w:val="0"/>
          <w:numId w:val="2"/>
        </w:numPr>
        <w:spacing w:after="60" w:line="264"/>
        <w:jc w:val="both"/>
      </w:pPr>
      <w:r>
        <w:rPr>
          <w:rFonts w:ascii="Calibri" w:cs="Calibri" w:eastAsia="Calibri" w:hAnsi="Calibri"/>
        </w:rPr>
        <w:t xml:space="preserve">All 125 participants completed the training with negligible drop-outs; three outstanding performers were identified and all participants were recognised with certificates and prizes at a ceremony with CRPF officers.</w:t>
      </w:r>
    </w:p>
    <w:p>
      <w:pPr>
        <w:pStyle w:val="ListParagraph"/>
        <w:numPr>
          <w:ilvl w:val="0"/>
          <w:numId w:val="2"/>
        </w:numPr>
        <w:spacing w:after="60" w:line="264"/>
        <w:jc w:val="both"/>
      </w:pPr>
      <w:r>
        <w:rPr>
          <w:rFonts w:ascii="Calibri" w:cs="Calibri" w:eastAsia="Calibri" w:hAnsi="Calibri"/>
        </w:rPr>
        <w:t xml:space="preserve">Participants are equipped for local service work and self-employment (repair counters, wiring and solar services, home-based tailoring), reducing dependence on seasonal labour and migration.</w:t>
      </w:r>
    </w:p>
    <w:p>
      <w:pPr>
        <w:pStyle w:val="ListParagraph"/>
        <w:numPr>
          <w:ilvl w:val="0"/>
          <w:numId w:val="2"/>
        </w:numPr>
        <w:spacing w:after="60" w:line="264"/>
        <w:jc w:val="both"/>
      </w:pPr>
      <w:r>
        <w:rPr>
          <w:rFonts w:ascii="Calibri" w:cs="Calibri" w:eastAsia="Calibri" w:hAnsi="Calibri"/>
        </w:rPr>
        <w:t xml:space="preserve">The programme strengthened trust between communities and CRPF through visible, development-oriented engagement.</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1E6B3A" w:sz="24"/>
              <w:bottom w:val="none" w:color="FFFFFF" w:sz="0"/>
              <w:right w:val="none" w:color="FFFFFF" w:sz="0"/>
            </w:tcBorders>
            <w:shd w:fill="E8F3EC" w:color="auto" w:val="clear"/>
            <w:tcMar>
              <w:top w:type="dxa" w:w="100"/>
              <w:left w:type="dxa" w:w="180"/>
              <w:bottom w:type="dxa" w:w="100"/>
              <w:right w:type="dxa" w:w="140"/>
            </w:tcMar>
          </w:tcPr>
          <w:p>
            <w:pPr>
              <w:spacing w:after="60"/>
            </w:pPr>
            <w:r>
              <w:rPr>
                <w:rFonts w:ascii="Calibri" w:cs="Calibri" w:eastAsia="Calibri" w:hAnsi="Calibri"/>
                <w:b/>
                <w:bCs/>
                <w:color w:val="14502A"/>
              </w:rPr>
              <w:t xml:space="preserve">Case Study: Tailoring Skill Leading to Recognition and Livelihood Security</w:t>
            </w:r>
          </w:p>
          <w:p>
            <w:pPr>
              <w:spacing w:after="0" w:line="264"/>
              <w:jc w:val="both"/>
            </w:pPr>
            <w:r>
              <w:rPr>
                <w:rFonts w:ascii="Calibri" w:cs="Calibri" w:eastAsia="Calibri" w:hAnsi="Calibri"/>
                <w:sz w:val="20"/>
                <w:szCs w:val="20"/>
              </w:rPr>
              <w:t xml:space="preserve">Manikumari, a widow from Tekulagudem village in Wazedu mandal on the far border of Telangana, supported two children from a small rain-fed farm. She joined the tailoring batch, mastered measurement, cutting and finishing on modern machines, and won the </w:t>
            </w:r>
            <w:r>
              <w:rPr>
                <w:rFonts w:ascii="Calibri" w:cs="Calibri" w:eastAsia="Calibri" w:hAnsi="Calibri"/>
                <w:b/>
                <w:bCs/>
                <w:sz w:val="20"/>
                <w:szCs w:val="20"/>
              </w:rPr>
              <w:t xml:space="preserve">3rd prize</w:t>
            </w:r>
            <w:r>
              <w:rPr>
                <w:rFonts w:ascii="Calibri" w:cs="Calibri" w:eastAsia="Calibri" w:hAnsi="Calibri"/>
                <w:sz w:val="20"/>
                <w:szCs w:val="20"/>
              </w:rPr>
              <w:t xml:space="preserve"> for performance. She now has a home-based tailoring skill that offers a steady, year-round income alongside farming.</w:t>
            </w:r>
          </w:p>
        </w:tc>
      </w:tr>
    </w:tbl>
    <w:p>
      <w:pPr>
        <w:spacing w:after="160"/>
      </w:pPr>
    </w:p>
    <w:tbl>
      <w:tblPr>
        <w:tblW w:type="dxa" w:w="9636"/>
        <w:tblBorders>
          <w:top w:val="none" w:color="FFFFFF" w:sz="0"/>
          <w:left w:val="none" w:color="FFFFFF" w:sz="0"/>
          <w:bottom w:val="none" w:color="FFFFFF" w:sz="0"/>
          <w:right w:val="none" w:color="FFFFFF" w:sz="0"/>
          <w:insideH w:val="none" w:color="FFFFFF" w:sz="0"/>
          <w:insideV w:val="none" w:color="FFFFFF" w:sz="0"/>
        </w:tblBorders>
      </w:tblPr>
      <w:tblGrid>
        <w:gridCol w:w="3212"/>
        <w:gridCol w:w="3212"/>
        <w:gridCol w:w="3212"/>
      </w:tblGrid>
      <w:tr>
        <w:trPr>
          <w:cantSplit/>
        </w:trPr>
        <w:tc>
          <w:tcPr>
            <w:tcW w:type="dxa" w:w="3212"/>
            <w:tcBorders>
              <w:top w:val="none" w:color="FFFFFF" w:sz="0"/>
              <w:left w:val="none" w:color="FFFFFF" w:sz="0"/>
              <w:bottom w:val="none" w:color="FFFFFF" w:sz="0"/>
              <w:right w:val="none" w:color="FFFFFF" w:sz="0"/>
            </w:tcBorders>
            <w:tcMar>
              <w:left w:type="dxa" w:w="50"/>
              <w:right w:type="dxa" w:w="50"/>
            </w:tcMar>
          </w:tcPr>
          <w:p>
            <w:pPr>
              <w:jc w:val="center"/>
            </w:pPr>
            <w:r>
              <w:drawing>
                <wp:inline distT="0" distB="0" distL="0" distR="0">
                  <wp:extent cx="1809750" cy="121920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809750" cy="1219200"/>
                          </a:xfrm>
                          <a:prstGeom prst="rect">
                            <a:avLst/>
                          </a:prstGeom>
                        </pic:spPr>
                      </pic:pic>
                    </a:graphicData>
                  </a:graphic>
                </wp:inline>
              </w:drawing>
            </w:r>
          </w:p>
          <w:p>
            <w:pPr>
              <w:spacing w:after="120" w:before="40"/>
              <w:jc w:val="center"/>
            </w:pPr>
            <w:r>
              <w:rPr>
                <w:rFonts w:ascii="Calibri" w:cs="Calibri" w:eastAsia="Calibri" w:hAnsi="Calibri"/>
                <w:i/>
                <w:iCs/>
                <w:color w:val="595959"/>
                <w:sz w:val="18"/>
                <w:szCs w:val="18"/>
              </w:rPr>
              <w:t xml:space="preserve">Computer repairing session</w:t>
            </w:r>
          </w:p>
        </w:tc>
        <w:tc>
          <w:tcPr>
            <w:tcW w:type="dxa" w:w="3212"/>
            <w:tcBorders>
              <w:top w:val="none" w:color="FFFFFF" w:sz="0"/>
              <w:left w:val="none" w:color="FFFFFF" w:sz="0"/>
              <w:bottom w:val="none" w:color="FFFFFF" w:sz="0"/>
              <w:right w:val="none" w:color="FFFFFF" w:sz="0"/>
            </w:tcBorders>
            <w:tcMar>
              <w:left w:type="dxa" w:w="50"/>
              <w:right w:type="dxa" w:w="50"/>
            </w:tcMar>
          </w:tcPr>
          <w:p>
            <w:pPr>
              <w:jc w:val="center"/>
            </w:pPr>
            <w:r>
              <w:drawing>
                <wp:inline distT="0" distB="0" distL="0" distR="0">
                  <wp:extent cx="1809750" cy="1219200"/>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809750" cy="1219200"/>
                          </a:xfrm>
                          <a:prstGeom prst="rect">
                            <a:avLst/>
                          </a:prstGeom>
                        </pic:spPr>
                      </pic:pic>
                    </a:graphicData>
                  </a:graphic>
                </wp:inline>
              </w:drawing>
            </w:r>
          </w:p>
          <w:p>
            <w:pPr>
              <w:spacing w:after="120" w:before="40"/>
              <w:jc w:val="center"/>
            </w:pPr>
            <w:r>
              <w:rPr>
                <w:rFonts w:ascii="Calibri" w:cs="Calibri" w:eastAsia="Calibri" w:hAnsi="Calibri"/>
                <w:i/>
                <w:iCs/>
                <w:color w:val="595959"/>
                <w:sz w:val="18"/>
                <w:szCs w:val="18"/>
              </w:rPr>
              <w:t xml:space="preserve">Certificates – women trainees</w:t>
            </w:r>
          </w:p>
        </w:tc>
        <w:tc>
          <w:tcPr>
            <w:tcW w:type="dxa" w:w="3212"/>
            <w:tcBorders>
              <w:top w:val="none" w:color="FFFFFF" w:sz="0"/>
              <w:left w:val="none" w:color="FFFFFF" w:sz="0"/>
              <w:bottom w:val="none" w:color="FFFFFF" w:sz="0"/>
              <w:right w:val="none" w:color="FFFFFF" w:sz="0"/>
            </w:tcBorders>
            <w:tcMar>
              <w:left w:type="dxa" w:w="50"/>
              <w:right w:type="dxa" w:w="50"/>
            </w:tcMar>
          </w:tcPr>
          <w:p>
            <w:pPr>
              <w:jc w:val="center"/>
            </w:pPr>
            <w:r>
              <w:drawing>
                <wp:inline distT="0" distB="0" distL="0" distR="0">
                  <wp:extent cx="1809750" cy="1219200"/>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809750" cy="1219200"/>
                          </a:xfrm>
                          <a:prstGeom prst="rect">
                            <a:avLst/>
                          </a:prstGeom>
                        </pic:spPr>
                      </pic:pic>
                    </a:graphicData>
                  </a:graphic>
                </wp:inline>
              </w:drawing>
            </w:r>
          </w:p>
          <w:p>
            <w:pPr>
              <w:spacing w:after="120" w:before="40"/>
              <w:jc w:val="center"/>
            </w:pPr>
            <w:r>
              <w:rPr>
                <w:rFonts w:ascii="Calibri" w:cs="Calibri" w:eastAsia="Calibri" w:hAnsi="Calibri"/>
                <w:i/>
                <w:iCs/>
                <w:color w:val="595959"/>
                <w:sz w:val="18"/>
                <w:szCs w:val="18"/>
              </w:rPr>
              <w:t xml:space="preserve">Certificates – youth trainees</w:t>
            </w:r>
          </w:p>
        </w:tc>
      </w:tr>
    </w:tbl>
    <w:p>
      <w:pPr>
        <w:spacing w:after="40"/>
      </w:pPr>
    </w:p>
    <w:p>
      <w:pPr>
        <w:pStyle w:val="Heading2"/>
        <w:keepNext/>
      </w:pPr>
      <w:r>
        <w:rPr>
          <w:rFonts w:ascii="Calibri" w:cs="Calibri" w:eastAsia="Calibri" w:hAnsi="Calibri"/>
        </w:rPr>
        <w:t xml:space="preserve">6.7 Results Framework: Targets vs Achievements</w:t>
      </w:r>
    </w:p>
    <w:p>
      <w:pPr>
        <w:keepNext/>
        <w:spacing w:after="120" w:line="276"/>
        <w:jc w:val="both"/>
      </w:pPr>
      <w:r>
        <w:rPr>
          <w:rFonts w:ascii="Calibri" w:cs="Calibri" w:eastAsia="Calibri" w:hAnsi="Calibri"/>
        </w:rPr>
        <w:t xml:space="preserve">The table below compares key results with programme targets as on 31 March 2026, using project records and audited accounts.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00"/>
        <w:gridCol w:w="3238"/>
        <w:gridCol w:w="1300"/>
        <w:gridCol w:w="1400"/>
        <w:gridCol w:w="1400"/>
      </w:tblGrid>
      <w:tr>
        <w:trPr>
          <w:cantSplit/>
          <w:tblHeader/>
        </w:trPr>
        <w:tc>
          <w:tcPr>
            <w:tcW w:type="dxa" w:w="23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8"/>
                <w:szCs w:val="18"/>
              </w:rPr>
              <w:t xml:space="preserve">Programme</w:t>
            </w:r>
          </w:p>
        </w:tc>
        <w:tc>
          <w:tcPr>
            <w:tcW w:type="dxa" w:w="3238"/>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8"/>
                <w:szCs w:val="18"/>
              </w:rPr>
              <w:t xml:space="preserve">Indicator</w:t>
            </w:r>
          </w:p>
        </w:tc>
        <w:tc>
          <w:tcPr>
            <w:tcW w:type="dxa" w:w="13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8"/>
                <w:szCs w:val="18"/>
              </w:rPr>
              <w:t xml:space="preserve">Target</w:t>
            </w:r>
          </w:p>
        </w:tc>
        <w:tc>
          <w:tcPr>
            <w:tcW w:type="dxa" w:w="14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8"/>
                <w:szCs w:val="18"/>
              </w:rPr>
              <w:t xml:space="preserve">Achieved</w:t>
            </w:r>
          </w:p>
        </w:tc>
        <w:tc>
          <w:tcPr>
            <w:tcW w:type="dxa" w:w="14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8"/>
                <w:szCs w:val="18"/>
              </w:rPr>
              <w:t xml:space="preserve">Status</w:t>
            </w:r>
          </w:p>
        </w:tc>
      </w:tr>
      <w:tr>
        <w:trPr>
          <w:cantSplit/>
        </w:trPr>
        <w:tc>
          <w:tcPr>
            <w:tcW w:type="dxa" w:w="23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8"/>
                <w:szCs w:val="18"/>
              </w:rPr>
              <w:t xml:space="preserve">TDF – Venkatapuram</w:t>
            </w:r>
          </w:p>
        </w:tc>
        <w:tc>
          <w:tcPr>
            <w:tcW w:type="dxa" w:w="32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8"/>
                <w:szCs w:val="18"/>
              </w:rPr>
              <w:t xml:space="preserve">Wadis established with intercropping</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center"/>
            </w:pPr>
            <w:r>
              <w:rPr>
                <w:rFonts w:ascii="Calibri" w:cs="Calibri" w:eastAsia="Calibri" w:hAnsi="Calibri"/>
                <w:b w:val="false"/>
                <w:bCs w:val="false"/>
                <w:sz w:val="18"/>
                <w:szCs w:val="18"/>
              </w:rPr>
              <w:t xml:space="preserve">450</w:t>
            </w:r>
          </w:p>
        </w:tc>
        <w:tc>
          <w:tcPr>
            <w:tcW w:type="dxa" w:w="1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center"/>
            </w:pPr>
            <w:r>
              <w:rPr>
                <w:rFonts w:ascii="Calibri" w:cs="Calibri" w:eastAsia="Calibri" w:hAnsi="Calibri"/>
                <w:b w:val="false"/>
                <w:bCs w:val="false"/>
                <w:sz w:val="18"/>
                <w:szCs w:val="18"/>
              </w:rPr>
              <w:t xml:space="preserve">326</w:t>
            </w:r>
          </w:p>
        </w:tc>
        <w:tc>
          <w:tcPr>
            <w:tcW w:type="dxa" w:w="1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center"/>
            </w:pPr>
            <w:r>
              <w:rPr>
                <w:rFonts w:ascii="Calibri" w:cs="Calibri" w:eastAsia="Calibri" w:hAnsi="Calibri"/>
                <w:b w:val="false"/>
                <w:bCs w:val="false"/>
                <w:sz w:val="18"/>
                <w:szCs w:val="18"/>
              </w:rPr>
              <w:t xml:space="preserve">72% – on track*</w:t>
            </w:r>
          </w:p>
        </w:tc>
      </w:tr>
      <w:tr>
        <w:trPr>
          <w:cantSplit/>
        </w:trPr>
        <w:tc>
          <w:tcPr>
            <w:tcW w:type="dxa" w:w="23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8"/>
                <w:szCs w:val="18"/>
              </w:rPr>
              <w:t xml:space="preserve">TDF – Venkatapuram</w:t>
            </w:r>
          </w:p>
        </w:tc>
        <w:tc>
          <w:tcPr>
            <w:tcW w:type="dxa" w:w="32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8"/>
                <w:szCs w:val="18"/>
              </w:rPr>
              <w:t xml:space="preserve">Livelihood units grounded</w:t>
            </w:r>
          </w:p>
        </w:tc>
        <w:tc>
          <w:tcPr>
            <w:tcW w:type="dxa" w:w="13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8"/>
                <w:szCs w:val="18"/>
              </w:rPr>
              <w:t xml:space="preserve">24</w:t>
            </w:r>
          </w:p>
        </w:tc>
        <w:tc>
          <w:tcPr>
            <w:tcW w:type="dxa" w:w="14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8"/>
                <w:szCs w:val="18"/>
              </w:rPr>
              <w:t xml:space="preserve">23</w:t>
            </w:r>
          </w:p>
        </w:tc>
        <w:tc>
          <w:tcPr>
            <w:tcW w:type="dxa" w:w="14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8"/>
                <w:szCs w:val="18"/>
              </w:rPr>
              <w:t xml:space="preserve">96%</w:t>
            </w:r>
          </w:p>
        </w:tc>
      </w:tr>
      <w:tr>
        <w:trPr>
          <w:cantSplit/>
        </w:trPr>
        <w:tc>
          <w:tcPr>
            <w:tcW w:type="dxa" w:w="23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8"/>
                <w:szCs w:val="18"/>
              </w:rPr>
              <w:t xml:space="preserve">TDF – Venkatapuram</w:t>
            </w:r>
          </w:p>
        </w:tc>
        <w:tc>
          <w:tcPr>
            <w:tcW w:type="dxa" w:w="32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8"/>
                <w:szCs w:val="18"/>
              </w:rPr>
              <w:t xml:space="preserve">Families covered (Wadi + livelihood)</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8"/>
                <w:szCs w:val="18"/>
              </w:rPr>
              <w:t xml:space="preserve">500</w:t>
            </w:r>
          </w:p>
        </w:tc>
        <w:tc>
          <w:tcPr>
            <w:tcW w:type="dxa" w:w="1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8"/>
                <w:szCs w:val="18"/>
              </w:rPr>
              <w:t xml:space="preserve">500</w:t>
            </w:r>
          </w:p>
        </w:tc>
        <w:tc>
          <w:tcPr>
            <w:tcW w:type="dxa" w:w="1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8"/>
                <w:szCs w:val="18"/>
              </w:rPr>
              <w:t xml:space="preserve">100%</w:t>
            </w:r>
          </w:p>
        </w:tc>
      </w:tr>
      <w:tr>
        <w:trPr>
          <w:cantSplit/>
        </w:trPr>
        <w:tc>
          <w:tcPr>
            <w:tcW w:type="dxa" w:w="23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8"/>
                <w:szCs w:val="18"/>
              </w:rPr>
              <w:t xml:space="preserve">TDF – Tadvai &amp; Govindaraopet</w:t>
            </w:r>
          </w:p>
        </w:tc>
        <w:tc>
          <w:tcPr>
            <w:tcW w:type="dxa" w:w="32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8"/>
                <w:szCs w:val="18"/>
              </w:rPr>
              <w:t xml:space="preserve">Fire-damaged mango plants replaced</w:t>
            </w:r>
          </w:p>
        </w:tc>
        <w:tc>
          <w:tcPr>
            <w:tcW w:type="dxa" w:w="13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8"/>
                <w:szCs w:val="18"/>
              </w:rPr>
              <w:t xml:space="preserve">1,115</w:t>
            </w:r>
          </w:p>
        </w:tc>
        <w:tc>
          <w:tcPr>
            <w:tcW w:type="dxa" w:w="14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8"/>
                <w:szCs w:val="18"/>
              </w:rPr>
              <w:t xml:space="preserve">1,155</w:t>
            </w:r>
          </w:p>
        </w:tc>
        <w:tc>
          <w:tcPr>
            <w:tcW w:type="dxa" w:w="14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8"/>
                <w:szCs w:val="18"/>
              </w:rPr>
              <w:t xml:space="preserve">104%</w:t>
            </w:r>
          </w:p>
        </w:tc>
      </w:tr>
      <w:tr>
        <w:trPr>
          <w:cantSplit/>
        </w:trPr>
        <w:tc>
          <w:tcPr>
            <w:tcW w:type="dxa" w:w="23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8"/>
                <w:szCs w:val="18"/>
              </w:rPr>
              <w:t xml:space="preserve">TDF – Tadvai &amp; Govindaraopet</w:t>
            </w:r>
          </w:p>
        </w:tc>
        <w:tc>
          <w:tcPr>
            <w:tcW w:type="dxa" w:w="32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8"/>
                <w:szCs w:val="18"/>
              </w:rPr>
              <w:t xml:space="preserve">Storm-affected farmers supported with inputs</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8"/>
                <w:szCs w:val="18"/>
              </w:rPr>
              <w:t xml:space="preserve">31</w:t>
            </w:r>
          </w:p>
        </w:tc>
        <w:tc>
          <w:tcPr>
            <w:tcW w:type="dxa" w:w="1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8"/>
                <w:szCs w:val="18"/>
              </w:rPr>
              <w:t xml:space="preserve">31</w:t>
            </w:r>
          </w:p>
        </w:tc>
        <w:tc>
          <w:tcPr>
            <w:tcW w:type="dxa" w:w="1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8"/>
                <w:szCs w:val="18"/>
              </w:rPr>
              <w:t xml:space="preserve">100%</w:t>
            </w:r>
          </w:p>
        </w:tc>
      </w:tr>
      <w:tr>
        <w:trPr>
          <w:cantSplit/>
        </w:trPr>
        <w:tc>
          <w:tcPr>
            <w:tcW w:type="dxa" w:w="23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8"/>
                <w:szCs w:val="18"/>
              </w:rPr>
              <w:t xml:space="preserve">TDF – Tadvai &amp; Govindaraopet</w:t>
            </w:r>
          </w:p>
        </w:tc>
        <w:tc>
          <w:tcPr>
            <w:tcW w:type="dxa" w:w="32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8"/>
                <w:szCs w:val="18"/>
              </w:rPr>
              <w:t xml:space="preserve">Project Completion Report submitted and verified</w:t>
            </w:r>
          </w:p>
        </w:tc>
        <w:tc>
          <w:tcPr>
            <w:tcW w:type="dxa" w:w="13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8"/>
                <w:szCs w:val="18"/>
              </w:rPr>
              <w:t xml:space="preserve">1</w:t>
            </w:r>
          </w:p>
        </w:tc>
        <w:tc>
          <w:tcPr>
            <w:tcW w:type="dxa" w:w="14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8"/>
                <w:szCs w:val="18"/>
              </w:rPr>
              <w:t xml:space="preserve">1</w:t>
            </w:r>
          </w:p>
        </w:tc>
        <w:tc>
          <w:tcPr>
            <w:tcW w:type="dxa" w:w="14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8"/>
                <w:szCs w:val="18"/>
              </w:rPr>
              <w:t xml:space="preserve">100%</w:t>
            </w:r>
          </w:p>
        </w:tc>
      </w:tr>
      <w:tr>
        <w:trPr>
          <w:cantSplit/>
        </w:trPr>
        <w:tc>
          <w:tcPr>
            <w:tcW w:type="dxa" w:w="23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8"/>
                <w:szCs w:val="18"/>
              </w:rPr>
              <w:t xml:space="preserve">Medaram FPO</w:t>
            </w:r>
          </w:p>
        </w:tc>
        <w:tc>
          <w:tcPr>
            <w:tcW w:type="dxa" w:w="32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8"/>
                <w:szCs w:val="18"/>
              </w:rPr>
              <w:t xml:space="preserve">Farmer-members enrolled with share capital</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8"/>
                <w:szCs w:val="18"/>
              </w:rPr>
              <w:t xml:space="preserve">500</w:t>
            </w:r>
          </w:p>
        </w:tc>
        <w:tc>
          <w:tcPr>
            <w:tcW w:type="dxa" w:w="1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8"/>
                <w:szCs w:val="18"/>
              </w:rPr>
              <w:t xml:space="preserve">500</w:t>
            </w:r>
          </w:p>
        </w:tc>
        <w:tc>
          <w:tcPr>
            <w:tcW w:type="dxa" w:w="1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8"/>
                <w:szCs w:val="18"/>
              </w:rPr>
              <w:t xml:space="preserve">100%</w:t>
            </w:r>
          </w:p>
        </w:tc>
      </w:tr>
      <w:tr>
        <w:trPr>
          <w:cantSplit/>
        </w:trPr>
        <w:tc>
          <w:tcPr>
            <w:tcW w:type="dxa" w:w="23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8"/>
                <w:szCs w:val="18"/>
              </w:rPr>
              <w:t xml:space="preserve">Medaram FPO</w:t>
            </w:r>
          </w:p>
        </w:tc>
        <w:tc>
          <w:tcPr>
            <w:tcW w:type="dxa" w:w="32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8"/>
                <w:szCs w:val="18"/>
              </w:rPr>
              <w:t xml:space="preserve">Share capital at ₹2,000 per member (₹)</w:t>
            </w:r>
          </w:p>
        </w:tc>
        <w:tc>
          <w:tcPr>
            <w:tcW w:type="dxa" w:w="13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8"/>
                <w:szCs w:val="18"/>
              </w:rPr>
              <w:t xml:space="preserve">10,00,000</w:t>
            </w:r>
          </w:p>
        </w:tc>
        <w:tc>
          <w:tcPr>
            <w:tcW w:type="dxa" w:w="14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8"/>
                <w:szCs w:val="18"/>
              </w:rPr>
              <w:t xml:space="preserve">5,40,000</w:t>
            </w:r>
          </w:p>
        </w:tc>
        <w:tc>
          <w:tcPr>
            <w:tcW w:type="dxa" w:w="14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8"/>
                <w:szCs w:val="18"/>
              </w:rPr>
              <w:t xml:space="preserve">54% – in progress</w:t>
            </w:r>
          </w:p>
        </w:tc>
      </w:tr>
      <w:tr>
        <w:trPr>
          <w:cantSplit/>
        </w:trPr>
        <w:tc>
          <w:tcPr>
            <w:tcW w:type="dxa" w:w="23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8"/>
                <w:szCs w:val="18"/>
              </w:rPr>
              <w:t xml:space="preserve">Medaram FPO</w:t>
            </w:r>
          </w:p>
        </w:tc>
        <w:tc>
          <w:tcPr>
            <w:tcW w:type="dxa" w:w="32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8"/>
                <w:szCs w:val="18"/>
              </w:rPr>
              <w:t xml:space="preserve">Statutory registrations (GST + 3 input licences)</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8"/>
                <w:szCs w:val="18"/>
              </w:rPr>
              <w:t xml:space="preserve">4</w:t>
            </w:r>
          </w:p>
        </w:tc>
        <w:tc>
          <w:tcPr>
            <w:tcW w:type="dxa" w:w="1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8"/>
                <w:szCs w:val="18"/>
              </w:rPr>
              <w:t xml:space="preserve">4</w:t>
            </w:r>
          </w:p>
        </w:tc>
        <w:tc>
          <w:tcPr>
            <w:tcW w:type="dxa" w:w="1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8"/>
                <w:szCs w:val="18"/>
              </w:rPr>
              <w:t xml:space="preserve">100%**</w:t>
            </w:r>
          </w:p>
        </w:tc>
      </w:tr>
      <w:tr>
        <w:trPr>
          <w:cantSplit/>
        </w:trPr>
        <w:tc>
          <w:tcPr>
            <w:tcW w:type="dxa" w:w="23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8"/>
                <w:szCs w:val="18"/>
              </w:rPr>
              <w:t xml:space="preserve">LEDP (SSFPCL)</w:t>
            </w:r>
          </w:p>
        </w:tc>
        <w:tc>
          <w:tcPr>
            <w:tcW w:type="dxa" w:w="32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8"/>
                <w:szCs w:val="18"/>
              </w:rPr>
              <w:t xml:space="preserve">SHG women trained and certified in beekeeping</w:t>
            </w:r>
          </w:p>
        </w:tc>
        <w:tc>
          <w:tcPr>
            <w:tcW w:type="dxa" w:w="13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8"/>
                <w:szCs w:val="18"/>
              </w:rPr>
              <w:t xml:space="preserve">120</w:t>
            </w:r>
          </w:p>
        </w:tc>
        <w:tc>
          <w:tcPr>
            <w:tcW w:type="dxa" w:w="14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8"/>
                <w:szCs w:val="18"/>
              </w:rPr>
              <w:t xml:space="preserve">120</w:t>
            </w:r>
          </w:p>
        </w:tc>
        <w:tc>
          <w:tcPr>
            <w:tcW w:type="dxa" w:w="14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8"/>
                <w:szCs w:val="18"/>
              </w:rPr>
              <w:t xml:space="preserve">100%</w:t>
            </w:r>
          </w:p>
        </w:tc>
      </w:tr>
      <w:tr>
        <w:trPr>
          <w:cantSplit/>
        </w:trPr>
        <w:tc>
          <w:tcPr>
            <w:tcW w:type="dxa" w:w="23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8"/>
                <w:szCs w:val="18"/>
              </w:rPr>
              <w:t xml:space="preserve">LEDP (SSFPCL)</w:t>
            </w:r>
          </w:p>
        </w:tc>
        <w:tc>
          <w:tcPr>
            <w:tcW w:type="dxa" w:w="32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8"/>
                <w:szCs w:val="18"/>
              </w:rPr>
              <w:t xml:space="preserve">Women credit-linked (₹30 lakh)</w:t>
            </w:r>
          </w:p>
        </w:tc>
        <w:tc>
          <w:tcPr>
            <w:tcW w:type="dxa" w:w="13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8"/>
                <w:szCs w:val="18"/>
              </w:rPr>
              <w:t xml:space="preserve">50</w:t>
            </w:r>
          </w:p>
        </w:tc>
        <w:tc>
          <w:tcPr>
            <w:tcW w:type="dxa" w:w="1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8"/>
                <w:szCs w:val="18"/>
              </w:rPr>
              <w:t xml:space="preserve">50 proposals submitted</w:t>
            </w:r>
          </w:p>
        </w:tc>
        <w:tc>
          <w:tcPr>
            <w:tcW w:type="dxa" w:w="1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8"/>
                <w:szCs w:val="18"/>
              </w:rPr>
              <w:t xml:space="preserve">In process</w:t>
            </w:r>
          </w:p>
        </w:tc>
      </w:tr>
      <w:tr>
        <w:trPr>
          <w:cantSplit/>
        </w:trPr>
        <w:tc>
          <w:tcPr>
            <w:tcW w:type="dxa" w:w="23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8"/>
                <w:szCs w:val="18"/>
              </w:rPr>
              <w:t xml:space="preserve">CRPF skill programme</w:t>
            </w:r>
          </w:p>
        </w:tc>
        <w:tc>
          <w:tcPr>
            <w:tcW w:type="dxa" w:w="32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8"/>
                <w:szCs w:val="18"/>
              </w:rPr>
              <w:t xml:space="preserve">Youth and women trained and certified</w:t>
            </w:r>
          </w:p>
        </w:tc>
        <w:tc>
          <w:tcPr>
            <w:tcW w:type="dxa" w:w="13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8"/>
                <w:szCs w:val="18"/>
              </w:rPr>
              <w:t xml:space="preserve">125</w:t>
            </w:r>
          </w:p>
        </w:tc>
        <w:tc>
          <w:tcPr>
            <w:tcW w:type="dxa" w:w="14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8"/>
                <w:szCs w:val="18"/>
              </w:rPr>
              <w:t xml:space="preserve">125</w:t>
            </w:r>
          </w:p>
        </w:tc>
        <w:tc>
          <w:tcPr>
            <w:tcW w:type="dxa" w:w="14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8"/>
                <w:szCs w:val="18"/>
              </w:rPr>
              <w:t xml:space="preserve">100%</w:t>
            </w:r>
          </w:p>
        </w:tc>
      </w:tr>
    </w:tbl>
    <w:p>
      <w:pPr>
        <w:spacing w:after="140"/>
      </w:pPr>
    </w:p>
    <w:p>
      <w:pPr>
        <w:spacing w:after="160" w:before="0"/>
      </w:pPr>
      <w:r>
        <w:rPr>
          <w:rFonts w:ascii="Calibri" w:cs="Calibri" w:eastAsia="Calibri" w:hAnsi="Calibri"/>
          <w:i/>
          <w:iCs/>
          <w:color w:val="595959"/>
          <w:sz w:val="17"/>
          <w:szCs w:val="17"/>
        </w:rPr>
        <w:t xml:space="preserve">* Reached 376 Wadis (84%) by October 2026; the balance 74 are scheduled for completion by end-October 2026.   ** Input licences received in April 2026.</w:t>
      </w:r>
    </w:p>
    <w:p>
      <w:pPr>
        <w:keepNext/>
        <w:spacing w:after="80" w:before="120"/>
      </w:pPr>
      <w:r>
        <w:rPr>
          <w:rFonts w:ascii="Calibri" w:cs="Calibri" w:eastAsia="Calibri" w:hAnsi="Calibri"/>
          <w:b/>
          <w:bCs/>
          <w:color w:val="14502A"/>
          <w:sz w:val="22"/>
          <w:szCs w:val="22"/>
        </w:rPr>
        <w:t xml:space="preserve">Outcomes Observed</w:t>
      </w:r>
    </w:p>
    <w:p>
      <w:pPr>
        <w:pStyle w:val="ListParagraph"/>
        <w:numPr>
          <w:ilvl w:val="0"/>
          <w:numId w:val="2"/>
        </w:numPr>
        <w:spacing w:after="60" w:line="264"/>
        <w:jc w:val="both"/>
      </w:pPr>
      <w:r>
        <w:rPr>
          <w:rFonts w:ascii="Calibri" w:cs="Calibri" w:eastAsia="Calibri" w:hAnsi="Calibri"/>
          <w:b/>
          <w:bCs/>
        </w:rPr>
        <w:t xml:space="preserve">Better prices through collective marketing:</w:t>
      </w:r>
      <w:r>
        <w:rPr>
          <w:rFonts w:ascii="Calibri" w:cs="Calibri" w:eastAsia="Calibri" w:hAnsi="Calibri"/>
        </w:rPr>
        <w:t xml:space="preserve"> direct sales by the FPOs fetched 40–100% above farm-gate prices for mango, and Medaram FPO recorded its first turnover of ₹2,00,000.</w:t>
      </w:r>
    </w:p>
    <w:p>
      <w:pPr>
        <w:pStyle w:val="ListParagraph"/>
        <w:numPr>
          <w:ilvl w:val="0"/>
          <w:numId w:val="2"/>
        </w:numPr>
        <w:spacing w:after="60" w:line="264"/>
        <w:jc w:val="both"/>
      </w:pPr>
      <w:r>
        <w:rPr>
          <w:rFonts w:ascii="Calibri" w:cs="Calibri" w:eastAsia="Calibri" w:hAnsi="Calibri"/>
          <w:b/>
          <w:bCs/>
        </w:rPr>
        <w:t xml:space="preserve">Stronger community institutions:</w:t>
      </w:r>
      <w:r>
        <w:rPr>
          <w:rFonts w:ascii="Calibri" w:cs="Calibri" w:eastAsia="Calibri" w:hAnsi="Calibri"/>
        </w:rPr>
        <w:t xml:space="preserve"> Medaram FPO now has ₹5.90 lakh of member-owned capital, its own bank account, GST registration and input licences. Sammakka Sarakka FPCL earned ₹40,000 from its godown.</w:t>
      </w:r>
    </w:p>
    <w:p>
      <w:pPr>
        <w:pStyle w:val="ListParagraph"/>
        <w:numPr>
          <w:ilvl w:val="0"/>
          <w:numId w:val="2"/>
        </w:numPr>
        <w:spacing w:after="60" w:line="264"/>
        <w:jc w:val="both"/>
      </w:pPr>
      <w:r>
        <w:rPr>
          <w:rFonts w:ascii="Calibri" w:cs="Calibri" w:eastAsia="Calibri" w:hAnsi="Calibri"/>
          <w:b/>
          <w:bCs/>
        </w:rPr>
        <w:t xml:space="preserve">Leverage of donor funds:</w:t>
      </w:r>
      <w:r>
        <w:rPr>
          <w:rFonts w:ascii="Calibri" w:cs="Calibri" w:eastAsia="Calibri" w:hAnsi="Calibri"/>
        </w:rPr>
        <w:t xml:space="preserve"> ₹14.26 lakh was mobilised through MGNREGS, ITDA, the Horticulture Department and CRPF, about ₹0.96 for every ₹1 of NABARD grant received for the Venkatapuram project during the year.</w:t>
      </w:r>
    </w:p>
    <w:p>
      <w:pPr>
        <w:pStyle w:val="ListParagraph"/>
        <w:numPr>
          <w:ilvl w:val="0"/>
          <w:numId w:val="2"/>
        </w:numPr>
        <w:spacing w:after="60" w:line="264"/>
        <w:jc w:val="both"/>
      </w:pPr>
      <w:r>
        <w:rPr>
          <w:rFonts w:ascii="Calibri" w:cs="Calibri" w:eastAsia="Calibri" w:hAnsi="Calibri"/>
          <w:b/>
          <w:bCs/>
        </w:rPr>
        <w:t xml:space="preserve">Asset protection:</w:t>
      </w:r>
      <w:r>
        <w:rPr>
          <w:rFonts w:ascii="Calibri" w:cs="Calibri" w:eastAsia="Calibri" w:hAnsi="Calibri"/>
        </w:rPr>
        <w:t xml:space="preserve"> orchard losses from fire and storms were restored within the same season, and farmers paid for summer water tankers themselves, a sign that they take ownership of their orchards.</w:t>
      </w:r>
    </w:p>
    <w:p>
      <w:pPr>
        <w:pStyle w:val="ListParagraph"/>
        <w:numPr>
          <w:ilvl w:val="0"/>
          <w:numId w:val="2"/>
        </w:numPr>
        <w:spacing w:after="60" w:line="264"/>
        <w:jc w:val="both"/>
      </w:pPr>
      <w:r>
        <w:rPr>
          <w:rFonts w:ascii="Calibri" w:cs="Calibri" w:eastAsia="Calibri" w:hAnsi="Calibri"/>
          <w:b/>
          <w:bCs/>
        </w:rPr>
        <w:t xml:space="preserve">Access to finance for women:</w:t>
      </w:r>
      <w:r>
        <w:rPr>
          <w:rFonts w:ascii="Calibri" w:cs="Calibri" w:eastAsia="Calibri" w:hAnsi="Calibri"/>
        </w:rPr>
        <w:t xml:space="preserve"> 120 trained women received ₹42,000 in stipends through direct bank transfer, and bank loan proposals of ₹30 lakh were prepared for 50 women.</w:t>
      </w:r>
    </w:p>
    <w:p>
      <w:pPr>
        <w:spacing w:after="60"/>
      </w:pPr>
    </w:p>
    <w:p>
      <w:pPr>
        <w:pStyle w:val="Heading2"/>
        <w:keepNext/>
      </w:pPr>
      <w:r>
        <w:rPr>
          <w:rFonts w:ascii="Calibri" w:cs="Calibri" w:eastAsia="Calibri" w:hAnsi="Calibri"/>
        </w:rPr>
        <w:t xml:space="preserve">6.8 Inclusion: Women and Tribal Communities</w:t>
      </w:r>
    </w:p>
    <w:p>
      <w:pPr>
        <w:spacing w:after="120" w:line="276"/>
        <w:jc w:val="both"/>
      </w:pPr>
      <w:r>
        <w:rPr>
          <w:rFonts w:ascii="Calibri" w:cs="Calibri" w:eastAsia="Calibri" w:hAnsi="Calibri"/>
        </w:rPr>
        <w:t xml:space="preserve">All programmes target Scheduled Tribe and other marginalised households in forest-fringe villages of Mulugu district. Women’s participation and leadership are built into Vanasamakhya’s structure: each Vana Samrakshana Samithi (VSS) sends one woman and one man to the local Vanasamakhya.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00"/>
        <w:gridCol w:w="3338"/>
        <w:gridCol w:w="2900"/>
      </w:tblGrid>
      <w:tr>
        <w:trPr>
          <w:cantSplit/>
          <w:tblHeader/>
        </w:trPr>
        <w:tc>
          <w:tcPr>
            <w:tcW w:type="dxa" w:w="34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Group</w:t>
            </w:r>
          </w:p>
        </w:tc>
        <w:tc>
          <w:tcPr>
            <w:tcW w:type="dxa" w:w="3338"/>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Reach in 2025–26</w:t>
            </w:r>
          </w:p>
        </w:tc>
        <w:tc>
          <w:tcPr>
            <w:tcW w:type="dxa" w:w="29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Programme</w:t>
            </w:r>
          </w:p>
        </w:tc>
      </w:tr>
      <w:tr>
        <w:trPr>
          <w:cantSplit/>
        </w:trPr>
        <w:tc>
          <w:tcPr>
            <w:tcW w:type="dxa" w:w="3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Tribal families (Wadi and livelihood)</w:t>
            </w:r>
          </w:p>
        </w:tc>
        <w:tc>
          <w:tcPr>
            <w:tcW w:type="dxa" w:w="33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500 families</w:t>
            </w:r>
          </w:p>
        </w:tc>
        <w:tc>
          <w:tcPr>
            <w:tcW w:type="dxa" w:w="29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TDF – Venkatapuram</w:t>
            </w:r>
          </w:p>
        </w:tc>
      </w:tr>
      <w:tr>
        <w:trPr>
          <w:cantSplit/>
        </w:trPr>
        <w:tc>
          <w:tcPr>
            <w:tcW w:type="dxa" w:w="34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Tribal farmer-members</w:t>
            </w:r>
          </w:p>
        </w:tc>
        <w:tc>
          <w:tcPr>
            <w:tcW w:type="dxa" w:w="33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500 members</w:t>
            </w:r>
          </w:p>
        </w:tc>
        <w:tc>
          <w:tcPr>
            <w:tcW w:type="dxa" w:w="29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Medaram FPO</w:t>
            </w:r>
          </w:p>
        </w:tc>
      </w:tr>
      <w:tr>
        <w:trPr>
          <w:cantSplit/>
        </w:trPr>
        <w:tc>
          <w:tcPr>
            <w:tcW w:type="dxa" w:w="3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SHG women trained in beekeeping</w:t>
            </w:r>
          </w:p>
        </w:tc>
        <w:tc>
          <w:tcPr>
            <w:tcW w:type="dxa" w:w="33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120 women</w:t>
            </w:r>
          </w:p>
        </w:tc>
        <w:tc>
          <w:tcPr>
            <w:tcW w:type="dxa" w:w="29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LEDP (SSFPCL)</w:t>
            </w:r>
          </w:p>
        </w:tc>
      </w:tr>
      <w:tr>
        <w:trPr>
          <w:cantSplit/>
        </w:trPr>
        <w:tc>
          <w:tcPr>
            <w:tcW w:type="dxa" w:w="34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SHG women facilitated for bank credit</w:t>
            </w:r>
          </w:p>
        </w:tc>
        <w:tc>
          <w:tcPr>
            <w:tcW w:type="dxa" w:w="33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50 women (₹30 lakh)</w:t>
            </w:r>
          </w:p>
        </w:tc>
        <w:tc>
          <w:tcPr>
            <w:tcW w:type="dxa" w:w="29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LEDP / IKP</w:t>
            </w:r>
          </w:p>
        </w:tc>
      </w:tr>
      <w:tr>
        <w:trPr>
          <w:cantSplit/>
        </w:trPr>
        <w:tc>
          <w:tcPr>
            <w:tcW w:type="dxa" w:w="3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Women trained in tailoring</w:t>
            </w:r>
          </w:p>
        </w:tc>
        <w:tc>
          <w:tcPr>
            <w:tcW w:type="dxa" w:w="33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25 women</w:t>
            </w:r>
          </w:p>
        </w:tc>
        <w:tc>
          <w:tcPr>
            <w:tcW w:type="dxa" w:w="29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CRPF skill programme</w:t>
            </w:r>
          </w:p>
        </w:tc>
      </w:tr>
      <w:tr>
        <w:trPr>
          <w:cantSplit/>
        </w:trPr>
        <w:tc>
          <w:tcPr>
            <w:tcW w:type="dxa" w:w="34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Scheduled Tribe trainees</w:t>
            </w:r>
          </w:p>
        </w:tc>
        <w:tc>
          <w:tcPr>
            <w:tcW w:type="dxa" w:w="33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About 90% of 125 trainees</w:t>
            </w:r>
          </w:p>
        </w:tc>
        <w:tc>
          <w:tcPr>
            <w:tcW w:type="dxa" w:w="29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CRPF skill programme</w:t>
            </w:r>
          </w:p>
        </w:tc>
      </w:tr>
      <w:tr>
        <w:trPr>
          <w:cantSplit/>
        </w:trPr>
        <w:tc>
          <w:tcPr>
            <w:tcW w:type="dxa" w:w="3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Women in FPO leadership</w:t>
            </w:r>
          </w:p>
        </w:tc>
        <w:tc>
          <w:tcPr>
            <w:tcW w:type="dxa" w:w="33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Secretary, Medaram FPO (Smt. Allem Soujanya)</w:t>
            </w:r>
          </w:p>
        </w:tc>
        <w:tc>
          <w:tcPr>
            <w:tcW w:type="dxa" w:w="29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Medaram FPO</w:t>
            </w:r>
          </w:p>
        </w:tc>
      </w:tr>
    </w:tbl>
    <w:p>
      <w:pPr>
        <w:spacing w:after="140"/>
      </w:pPr>
    </w:p>
    <w:p>
      <w:pPr>
        <w:pStyle w:val="Heading1"/>
        <w:keepNext/>
      </w:pPr>
      <w:r>
        <w:rPr>
          <w:rFonts w:ascii="Calibri" w:cs="Calibri" w:eastAsia="Calibri" w:hAnsi="Calibri"/>
        </w:rPr>
        <w:t xml:space="preserve">7. Highlights after the Reporting Period (April–October 2026)</w:t>
      </w:r>
    </w:p>
    <w:p>
      <w:pPr>
        <w:pStyle w:val="Heading2"/>
        <w:keepNext/>
      </w:pPr>
      <w:r>
        <w:rPr>
          <w:rFonts w:ascii="Calibri" w:cs="Calibri" w:eastAsia="Calibri" w:hAnsi="Calibri"/>
        </w:rPr>
        <w:t xml:space="preserve">7.1 NABARD Mango Festival 2026, Hyderabad</w:t>
      </w:r>
    </w:p>
    <w:p>
      <w:pPr>
        <w:spacing w:after="120" w:line="276"/>
        <w:jc w:val="both"/>
      </w:pPr>
      <w:r>
        <w:rPr>
          <w:rFonts w:ascii="Calibri" w:cs="Calibri" w:eastAsia="Calibri" w:hAnsi="Calibri"/>
        </w:rPr>
        <w:t xml:space="preserve">On </w:t>
      </w:r>
      <w:r>
        <w:rPr>
          <w:rFonts w:ascii="Calibri" w:cs="Calibri" w:eastAsia="Calibri" w:hAnsi="Calibri"/>
          <w:b/>
          <w:bCs/>
        </w:rPr>
        <w:t xml:space="preserve">22–23 May 2026</w:t>
      </w:r>
      <w:r>
        <w:rPr>
          <w:rFonts w:ascii="Calibri" w:cs="Calibri" w:eastAsia="Calibri" w:hAnsi="Calibri"/>
        </w:rPr>
        <w:t xml:space="preserve">, NABARD and Vanasamakhya jointly organised the NABARD Mango Festival in Hyderabad. On Day 1 stalls were set up at the NABARD Telangana Regional Office, Reserve Bank of India, TG CAB and Union Bank of India; on Day 2 at the NABARD and RBI staff quarters. The festival was inaugurated by </w:t>
      </w:r>
      <w:r>
        <w:rPr>
          <w:rFonts w:ascii="Calibri" w:cs="Calibri" w:eastAsia="Calibri" w:hAnsi="Calibri"/>
          <w:b/>
          <w:bCs/>
        </w:rPr>
        <w:t xml:space="preserve">Shri B. Uday Bhaskar, Chief General Manager, NABARD Telangana RO</w:t>
      </w:r>
      <w:r>
        <w:rPr>
          <w:rFonts w:ascii="Calibri" w:cs="Calibri" w:eastAsia="Calibri" w:hAnsi="Calibri"/>
        </w:rPr>
        <w:t xml:space="preserve">, with senior officers of NABARD. Members of Sammakka Sarakka FPO managed all stalls – display, weighing, packing, digital payments and sales.</w:t>
      </w:r>
    </w:p>
    <w:tbl>
      <w:tblPr>
        <w:tblW w:type="dxa" w:w="9636"/>
        <w:tblBorders>
          <w:top w:val="single" w:color="auto" w:sz="4"/>
          <w:left w:val="single" w:color="auto" w:sz="4"/>
          <w:bottom w:val="single" w:color="auto" w:sz="4"/>
          <w:right w:val="single" w:color="auto" w:sz="4"/>
          <w:insideH w:val="single" w:color="auto" w:sz="4"/>
          <w:insideV w:val="single" w:color="auto" w:sz="4"/>
        </w:tblBorders>
      </w:tblPr>
      <w:tblGrid>
        <w:gridCol w:w="2409"/>
        <w:gridCol w:w="2409"/>
        <w:gridCol w:w="2409"/>
        <w:gridCol w:w="2409"/>
      </w:tblGrid>
      <w:tr>
        <w:trPr>
          <w:cantSplit/>
        </w:trPr>
        <w:tc>
          <w:tcPr>
            <w:tcW w:type="dxa" w:w="2409"/>
            <w:tcBorders>
              <w:top w:val="single" w:color="FFFFFF" w:sz="12"/>
              <w:left w:val="single" w:color="FFFFFF" w:sz="12"/>
              <w:bottom w:val="single" w:color="FFFFFF" w:sz="12"/>
              <w:right w:val="single" w:color="FFFFFF" w:sz="12"/>
            </w:tcBorders>
            <w:shd w:fill="E8F3EC" w:color="auto" w:val="clear"/>
            <w:tcMar>
              <w:top w:type="dxa" w:w="100"/>
              <w:left w:type="dxa" w:w="80"/>
              <w:bottom w:type="dxa" w:w="100"/>
              <w:right w:type="dxa" w:w="80"/>
            </w:tcMar>
            <w:vAlign w:val="center"/>
          </w:tcPr>
          <w:p>
            <w:pPr>
              <w:spacing w:after="20"/>
              <w:jc w:val="center"/>
            </w:pPr>
            <w:r>
              <w:rPr>
                <w:rFonts w:ascii="Calibri" w:cs="Calibri" w:eastAsia="Calibri" w:hAnsi="Calibri"/>
                <w:b/>
                <w:bCs/>
                <w:color w:val="14502A"/>
                <w:sz w:val="32"/>
                <w:szCs w:val="32"/>
              </w:rPr>
              <w:t xml:space="preserve">1,830 kg</w:t>
            </w:r>
          </w:p>
          <w:p>
            <w:pPr>
              <w:spacing w:after="0"/>
              <w:jc w:val="center"/>
            </w:pPr>
            <w:r>
              <w:rPr>
                <w:rFonts w:ascii="Calibri" w:cs="Calibri" w:eastAsia="Calibri" w:hAnsi="Calibri"/>
                <w:color w:val="333333"/>
                <w:sz w:val="17"/>
                <w:szCs w:val="17"/>
              </w:rPr>
              <w:t xml:space="preserve">Organic mango sold (5 varieties)</w:t>
            </w:r>
          </w:p>
        </w:tc>
        <w:tc>
          <w:tcPr>
            <w:tcW w:type="dxa" w:w="2409"/>
            <w:tcBorders>
              <w:top w:val="single" w:color="FFFFFF" w:sz="12"/>
              <w:left w:val="single" w:color="FFFFFF" w:sz="12"/>
              <w:bottom w:val="single" w:color="FFFFFF" w:sz="12"/>
              <w:right w:val="single" w:color="FFFFFF" w:sz="12"/>
            </w:tcBorders>
            <w:shd w:fill="E8F3EC" w:color="auto" w:val="clear"/>
            <w:tcMar>
              <w:top w:type="dxa" w:w="100"/>
              <w:left w:type="dxa" w:w="80"/>
              <w:bottom w:type="dxa" w:w="100"/>
              <w:right w:type="dxa" w:w="80"/>
            </w:tcMar>
            <w:vAlign w:val="center"/>
          </w:tcPr>
          <w:p>
            <w:pPr>
              <w:spacing w:after="20"/>
              <w:jc w:val="center"/>
            </w:pPr>
            <w:r>
              <w:rPr>
                <w:rFonts w:ascii="Calibri" w:cs="Calibri" w:eastAsia="Calibri" w:hAnsi="Calibri"/>
                <w:b/>
                <w:bCs/>
                <w:color w:val="14502A"/>
                <w:sz w:val="32"/>
                <w:szCs w:val="32"/>
              </w:rPr>
              <w:t xml:space="preserve">₹1,88,700</w:t>
            </w:r>
          </w:p>
          <w:p>
            <w:pPr>
              <w:spacing w:after="0"/>
              <w:jc w:val="center"/>
            </w:pPr>
            <w:r>
              <w:rPr>
                <w:rFonts w:ascii="Calibri" w:cs="Calibri" w:eastAsia="Calibri" w:hAnsi="Calibri"/>
                <w:color w:val="333333"/>
                <w:sz w:val="17"/>
                <w:szCs w:val="17"/>
              </w:rPr>
              <w:t xml:space="preserve">Total sales in two days</w:t>
            </w:r>
          </w:p>
        </w:tc>
        <w:tc>
          <w:tcPr>
            <w:tcW w:type="dxa" w:w="2409"/>
            <w:tcBorders>
              <w:top w:val="single" w:color="FFFFFF" w:sz="12"/>
              <w:left w:val="single" w:color="FFFFFF" w:sz="12"/>
              <w:bottom w:val="single" w:color="FFFFFF" w:sz="12"/>
              <w:right w:val="single" w:color="FFFFFF" w:sz="12"/>
            </w:tcBorders>
            <w:shd w:fill="E8F3EC" w:color="auto" w:val="clear"/>
            <w:tcMar>
              <w:top w:type="dxa" w:w="100"/>
              <w:left w:type="dxa" w:w="80"/>
              <w:bottom w:type="dxa" w:w="100"/>
              <w:right w:type="dxa" w:w="80"/>
            </w:tcMar>
            <w:vAlign w:val="center"/>
          </w:tcPr>
          <w:p>
            <w:pPr>
              <w:spacing w:after="20"/>
              <w:jc w:val="center"/>
            </w:pPr>
            <w:r>
              <w:rPr>
                <w:rFonts w:ascii="Calibri" w:cs="Calibri" w:eastAsia="Calibri" w:hAnsi="Calibri"/>
                <w:b/>
                <w:bCs/>
                <w:color w:val="14502A"/>
                <w:sz w:val="32"/>
                <w:szCs w:val="32"/>
              </w:rPr>
              <w:t xml:space="preserve">618</w:t>
            </w:r>
          </w:p>
          <w:p>
            <w:pPr>
              <w:spacing w:after="0"/>
              <w:jc w:val="center"/>
            </w:pPr>
            <w:r>
              <w:rPr>
                <w:rFonts w:ascii="Calibri" w:cs="Calibri" w:eastAsia="Calibri" w:hAnsi="Calibri"/>
                <w:color w:val="333333"/>
                <w:sz w:val="17"/>
                <w:szCs w:val="17"/>
              </w:rPr>
              <w:t xml:space="preserve">Customers served</w:t>
            </w:r>
          </w:p>
        </w:tc>
        <w:tc>
          <w:tcPr>
            <w:tcW w:type="dxa" w:w="2409"/>
            <w:tcBorders>
              <w:top w:val="single" w:color="FFFFFF" w:sz="12"/>
              <w:left w:val="single" w:color="FFFFFF" w:sz="12"/>
              <w:bottom w:val="single" w:color="FFFFFF" w:sz="12"/>
              <w:right w:val="single" w:color="FFFFFF" w:sz="12"/>
            </w:tcBorders>
            <w:shd w:fill="E8F3EC" w:color="auto" w:val="clear"/>
            <w:tcMar>
              <w:top w:type="dxa" w:w="100"/>
              <w:left w:type="dxa" w:w="80"/>
              <w:bottom w:type="dxa" w:w="100"/>
              <w:right w:type="dxa" w:w="80"/>
            </w:tcMar>
            <w:vAlign w:val="center"/>
          </w:tcPr>
          <w:p>
            <w:pPr>
              <w:spacing w:after="20"/>
              <w:jc w:val="center"/>
            </w:pPr>
            <w:r>
              <w:rPr>
                <w:rFonts w:ascii="Calibri" w:cs="Calibri" w:eastAsia="Calibri" w:hAnsi="Calibri"/>
                <w:b/>
                <w:bCs/>
                <w:color w:val="14502A"/>
                <w:sz w:val="32"/>
                <w:szCs w:val="32"/>
              </w:rPr>
              <w:t xml:space="preserve">88%</w:t>
            </w:r>
          </w:p>
          <w:p>
            <w:pPr>
              <w:spacing w:after="0"/>
              <w:jc w:val="center"/>
            </w:pPr>
            <w:r>
              <w:rPr>
                <w:rFonts w:ascii="Calibri" w:cs="Calibri" w:eastAsia="Calibri" w:hAnsi="Calibri"/>
                <w:color w:val="333333"/>
                <w:sz w:val="17"/>
                <w:szCs w:val="17"/>
              </w:rPr>
              <w:t xml:space="preserve">Payments received digitally</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38"/>
        <w:gridCol w:w="1500"/>
        <w:gridCol w:w="1600"/>
        <w:gridCol w:w="1700"/>
        <w:gridCol w:w="1600"/>
      </w:tblGrid>
      <w:tr>
        <w:trPr>
          <w:cantSplit/>
          <w:tblHeader/>
        </w:trPr>
        <w:tc>
          <w:tcPr>
            <w:tcW w:type="dxa" w:w="3238"/>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Variety / product</w:t>
            </w:r>
          </w:p>
        </w:tc>
        <w:tc>
          <w:tcPr>
            <w:tcW w:type="dxa" w:w="15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9"/>
                <w:szCs w:val="19"/>
              </w:rPr>
              <w:t xml:space="preserve">Quantity</w:t>
            </w:r>
          </w:p>
        </w:tc>
        <w:tc>
          <w:tcPr>
            <w:tcW w:type="dxa" w:w="16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9"/>
                <w:szCs w:val="19"/>
              </w:rPr>
              <w:t xml:space="preserve">Sale price</w:t>
            </w:r>
          </w:p>
        </w:tc>
        <w:tc>
          <w:tcPr>
            <w:tcW w:type="dxa" w:w="17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9"/>
                <w:szCs w:val="19"/>
              </w:rPr>
              <w:t xml:space="preserve">Farm-gate price</w:t>
            </w:r>
          </w:p>
        </w:tc>
        <w:tc>
          <w:tcPr>
            <w:tcW w:type="dxa" w:w="16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9"/>
                <w:szCs w:val="19"/>
              </w:rPr>
              <w:t xml:space="preserve">Value (₹)</w:t>
            </w:r>
          </w:p>
        </w:tc>
      </w:tr>
      <w:tr>
        <w:trPr>
          <w:cantSplit/>
        </w:trPr>
        <w:tc>
          <w:tcPr>
            <w:tcW w:type="dxa" w:w="32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Banganapalli</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center"/>
            </w:pPr>
            <w:r>
              <w:rPr>
                <w:rFonts w:ascii="Calibri" w:cs="Calibri" w:eastAsia="Calibri" w:hAnsi="Calibri"/>
                <w:b w:val="false"/>
                <w:bCs w:val="false"/>
                <w:sz w:val="19"/>
                <w:szCs w:val="19"/>
              </w:rPr>
              <w:t xml:space="preserve">850 kg</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center"/>
            </w:pPr>
            <w:r>
              <w:rPr>
                <w:rFonts w:ascii="Calibri" w:cs="Calibri" w:eastAsia="Calibri" w:hAnsi="Calibri"/>
                <w:b w:val="false"/>
                <w:bCs w:val="false"/>
                <w:sz w:val="19"/>
                <w:szCs w:val="19"/>
              </w:rPr>
              <w:t xml:space="preserve">₹70/kg</w:t>
            </w:r>
          </w:p>
        </w:tc>
        <w:tc>
          <w:tcPr>
            <w:tcW w:type="dxa" w:w="17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center"/>
            </w:pPr>
            <w:r>
              <w:rPr>
                <w:rFonts w:ascii="Calibri" w:cs="Calibri" w:eastAsia="Calibri" w:hAnsi="Calibri"/>
                <w:b w:val="false"/>
                <w:bCs w:val="false"/>
                <w:sz w:val="19"/>
                <w:szCs w:val="19"/>
              </w:rPr>
              <w:t xml:space="preserve">₹50/kg</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right"/>
            </w:pPr>
            <w:r>
              <w:rPr>
                <w:rFonts w:ascii="Calibri" w:cs="Calibri" w:eastAsia="Calibri" w:hAnsi="Calibri"/>
                <w:b w:val="false"/>
                <w:bCs w:val="false"/>
                <w:sz w:val="19"/>
                <w:szCs w:val="19"/>
              </w:rPr>
              <w:t xml:space="preserve">59,500</w:t>
            </w:r>
          </w:p>
        </w:tc>
      </w:tr>
      <w:tr>
        <w:trPr>
          <w:cantSplit/>
        </w:trPr>
        <w:tc>
          <w:tcPr>
            <w:tcW w:type="dxa" w:w="32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Chinna Rasalu</w:t>
            </w:r>
          </w:p>
        </w:tc>
        <w:tc>
          <w:tcPr>
            <w:tcW w:type="dxa" w:w="15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600 kg</w:t>
            </w:r>
          </w:p>
        </w:tc>
        <w:tc>
          <w:tcPr>
            <w:tcW w:type="dxa" w:w="16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₹100/kg</w:t>
            </w:r>
          </w:p>
        </w:tc>
        <w:tc>
          <w:tcPr>
            <w:tcW w:type="dxa" w:w="17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₹60/kg</w:t>
            </w:r>
          </w:p>
        </w:tc>
        <w:tc>
          <w:tcPr>
            <w:tcW w:type="dxa" w:w="16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60,000</w:t>
            </w:r>
          </w:p>
        </w:tc>
      </w:tr>
      <w:tr>
        <w:trPr>
          <w:cantSplit/>
        </w:trPr>
        <w:tc>
          <w:tcPr>
            <w:tcW w:type="dxa" w:w="32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Totapuri</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180 kg</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₹60/kg</w:t>
            </w:r>
          </w:p>
        </w:tc>
        <w:tc>
          <w:tcPr>
            <w:tcW w:type="dxa" w:w="17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₹30/kg</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10,800</w:t>
            </w:r>
          </w:p>
        </w:tc>
      </w:tr>
      <w:tr>
        <w:trPr>
          <w:cantSplit/>
        </w:trPr>
        <w:tc>
          <w:tcPr>
            <w:tcW w:type="dxa" w:w="32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Pedda Rasalu (Desi)</w:t>
            </w:r>
          </w:p>
        </w:tc>
        <w:tc>
          <w:tcPr>
            <w:tcW w:type="dxa" w:w="15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100 kg</w:t>
            </w:r>
          </w:p>
        </w:tc>
        <w:tc>
          <w:tcPr>
            <w:tcW w:type="dxa" w:w="16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₹100/kg</w:t>
            </w:r>
          </w:p>
        </w:tc>
        <w:tc>
          <w:tcPr>
            <w:tcW w:type="dxa" w:w="17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₹50/kg</w:t>
            </w:r>
          </w:p>
        </w:tc>
        <w:tc>
          <w:tcPr>
            <w:tcW w:type="dxa" w:w="16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10,000</w:t>
            </w:r>
          </w:p>
        </w:tc>
      </w:tr>
      <w:tr>
        <w:trPr>
          <w:cantSplit/>
        </w:trPr>
        <w:tc>
          <w:tcPr>
            <w:tcW w:type="dxa" w:w="32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Pickle local mangoes</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100 kg</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₹100/kg</w:t>
            </w:r>
          </w:p>
        </w:tc>
        <w:tc>
          <w:tcPr>
            <w:tcW w:type="dxa" w:w="17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₹50/kg</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10,000</w:t>
            </w:r>
          </w:p>
        </w:tc>
      </w:tr>
      <w:tr>
        <w:trPr>
          <w:cantSplit/>
        </w:trPr>
        <w:tc>
          <w:tcPr>
            <w:tcW w:type="dxa" w:w="3238"/>
            <w:tcBorders>
              <w:top w:val="single" w:color="A6A6A6" w:sz="4"/>
              <w:left w:val="single" w:color="A6A6A6" w:sz="4"/>
              <w:bottom w:val="single" w:color="A6A6A6" w:sz="4"/>
              <w:right w:val="single" w:color="A6A6A6" w:sz="4"/>
            </w:tcBorders>
            <w:shd w:fill="F2F2F2"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bCs/>
                <w:sz w:val="19"/>
                <w:szCs w:val="19"/>
              </w:rPr>
              <w:t xml:space="preserve">Sub-total – Mango</w:t>
            </w:r>
          </w:p>
        </w:tc>
        <w:tc>
          <w:tcPr>
            <w:tcW w:type="dxa" w:w="1500"/>
            <w:tcBorders>
              <w:top w:val="single" w:color="A6A6A6" w:sz="4"/>
              <w:left w:val="single" w:color="A6A6A6" w:sz="4"/>
              <w:bottom w:val="single" w:color="A6A6A6" w:sz="4"/>
              <w:right w:val="single" w:color="A6A6A6" w:sz="4"/>
            </w:tcBorders>
            <w:shd w:fill="F2F2F2"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bCs/>
                <w:sz w:val="19"/>
                <w:szCs w:val="19"/>
              </w:rPr>
              <w:t xml:space="preserve">1,830 kg</w:t>
            </w:r>
          </w:p>
        </w:tc>
        <w:tc>
          <w:tcPr>
            <w:tcW w:type="dxa" w:w="1600"/>
            <w:tcBorders>
              <w:top w:val="single" w:color="A6A6A6" w:sz="4"/>
              <w:left w:val="single" w:color="A6A6A6" w:sz="4"/>
              <w:bottom w:val="single" w:color="A6A6A6" w:sz="4"/>
              <w:right w:val="single" w:color="A6A6A6" w:sz="4"/>
            </w:tcBorders>
            <w:shd w:fill="F2F2F2" w:color="auto" w:val="clear"/>
            <w:tcMar>
              <w:top w:type="dxa" w:w="60"/>
              <w:left w:type="dxa" w:w="100"/>
              <w:bottom w:type="dxa" w:w="60"/>
              <w:right w:type="dxa" w:w="100"/>
            </w:tcMar>
            <w:vAlign w:val="center"/>
          </w:tcPr>
          <w:p>
            <w:pPr>
              <w:keepNext w:val="false"/>
              <w:spacing w:after="0" w:line="252"/>
              <w:jc w:val="center"/>
            </w:pPr>
          </w:p>
        </w:tc>
        <w:tc>
          <w:tcPr>
            <w:tcW w:type="dxa" w:w="1700"/>
            <w:tcBorders>
              <w:top w:val="single" w:color="A6A6A6" w:sz="4"/>
              <w:left w:val="single" w:color="A6A6A6" w:sz="4"/>
              <w:bottom w:val="single" w:color="A6A6A6" w:sz="4"/>
              <w:right w:val="single" w:color="A6A6A6" w:sz="4"/>
            </w:tcBorders>
            <w:shd w:fill="F2F2F2" w:color="auto" w:val="clear"/>
            <w:tcMar>
              <w:top w:type="dxa" w:w="60"/>
              <w:left w:type="dxa" w:w="100"/>
              <w:bottom w:type="dxa" w:w="60"/>
              <w:right w:type="dxa" w:w="100"/>
            </w:tcMar>
            <w:vAlign w:val="center"/>
          </w:tcPr>
          <w:p>
            <w:pPr>
              <w:keepNext w:val="false"/>
              <w:spacing w:after="0" w:line="252"/>
              <w:jc w:val="center"/>
            </w:pPr>
          </w:p>
        </w:tc>
        <w:tc>
          <w:tcPr>
            <w:tcW w:type="dxa" w:w="1600"/>
            <w:tcBorders>
              <w:top w:val="single" w:color="A6A6A6" w:sz="4"/>
              <w:left w:val="single" w:color="A6A6A6" w:sz="4"/>
              <w:bottom w:val="single" w:color="A6A6A6" w:sz="4"/>
              <w:right w:val="single" w:color="A6A6A6" w:sz="4"/>
            </w:tcBorders>
            <w:shd w:fill="F2F2F2"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bCs/>
                <w:sz w:val="19"/>
                <w:szCs w:val="19"/>
              </w:rPr>
              <w:t xml:space="preserve">1,50,300</w:t>
            </w:r>
          </w:p>
        </w:tc>
      </w:tr>
      <w:tr>
        <w:trPr>
          <w:cantSplit/>
        </w:trPr>
        <w:tc>
          <w:tcPr>
            <w:tcW w:type="dxa" w:w="32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Forest honey, pickles and mahua flower</w:t>
            </w:r>
          </w:p>
        </w:tc>
        <w:tc>
          <w:tcPr>
            <w:tcW w:type="dxa" w:w="15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51 kg</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p>
        </w:tc>
        <w:tc>
          <w:tcPr>
            <w:tcW w:type="dxa" w:w="17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38,400</w:t>
            </w:r>
          </w:p>
        </w:tc>
      </w:tr>
      <w:tr>
        <w:trPr>
          <w:cantSplit/>
        </w:trPr>
        <w:tc>
          <w:tcPr>
            <w:tcW w:type="dxa" w:w="3238"/>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bCs/>
                <w:sz w:val="19"/>
                <w:szCs w:val="19"/>
              </w:rPr>
              <w:t xml:space="preserve">Grand total</w:t>
            </w:r>
          </w:p>
        </w:tc>
        <w:tc>
          <w:tcPr>
            <w:tcW w:type="dxa" w:w="1500"/>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bCs/>
                <w:sz w:val="19"/>
                <w:szCs w:val="19"/>
              </w:rPr>
              <w:t xml:space="preserve">1,881 kg</w:t>
            </w:r>
          </w:p>
        </w:tc>
        <w:tc>
          <w:tcPr>
            <w:tcW w:type="dxa" w:w="1600"/>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center"/>
            </w:pPr>
          </w:p>
        </w:tc>
        <w:tc>
          <w:tcPr>
            <w:tcW w:type="dxa" w:w="1700"/>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center"/>
            </w:pPr>
          </w:p>
        </w:tc>
        <w:tc>
          <w:tcPr>
            <w:tcW w:type="dxa" w:w="1600"/>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bCs/>
                <w:sz w:val="19"/>
                <w:szCs w:val="19"/>
              </w:rPr>
              <w:t xml:space="preserve">1,88,700</w:t>
            </w:r>
          </w:p>
        </w:tc>
      </w:tr>
    </w:tbl>
    <w:p>
      <w:pPr>
        <w:spacing w:after="140"/>
      </w:pPr>
    </w:p>
    <w:p>
      <w:pPr>
        <w:spacing w:after="120" w:line="276"/>
        <w:jc w:val="both"/>
      </w:pPr>
      <w:r>
        <w:rPr>
          <w:rFonts w:ascii="Calibri" w:cs="Calibri" w:eastAsia="Calibri" w:hAnsi="Calibri"/>
        </w:rPr>
        <w:t xml:space="preserve">Farmers realised a premium of </w:t>
      </w:r>
      <w:r>
        <w:rPr>
          <w:rFonts w:ascii="Calibri" w:cs="Calibri" w:eastAsia="Calibri" w:hAnsi="Calibri"/>
          <w:b/>
          <w:bCs/>
        </w:rPr>
        <w:t xml:space="preserve">40–100% over farm-gate prices</w:t>
      </w:r>
      <w:r>
        <w:rPr>
          <w:rFonts w:ascii="Calibri" w:cs="Calibri" w:eastAsia="Calibri" w:hAnsi="Calibri"/>
        </w:rPr>
        <w:t xml:space="preserve">, an estimated ₹58,000–70,000 of additional income in two days, and the event generated enquiries for institutional bulk orders in future seasons.</w:t>
      </w:r>
    </w:p>
    <w:p>
      <w:pPr>
        <w:pStyle w:val="Heading2"/>
        <w:keepNext/>
      </w:pPr>
      <w:r>
        <w:rPr>
          <w:rFonts w:ascii="Calibri" w:cs="Calibri" w:eastAsia="Calibri" w:hAnsi="Calibri"/>
        </w:rPr>
        <w:t xml:space="preserve">7.2 Other Developments</w:t>
      </w:r>
    </w:p>
    <w:p>
      <w:pPr>
        <w:pStyle w:val="ListParagraph"/>
        <w:numPr>
          <w:ilvl w:val="0"/>
          <w:numId w:val="2"/>
        </w:numPr>
        <w:spacing w:after="60" w:line="264"/>
        <w:jc w:val="both"/>
      </w:pPr>
      <w:r>
        <w:rPr>
          <w:rFonts w:ascii="Calibri" w:cs="Calibri" w:eastAsia="Calibri" w:hAnsi="Calibri"/>
        </w:rPr>
        <w:t xml:space="preserve">Plantation completed in a further 50 Wadis under TDF–Venkatapuram (43 in Nuguru, 7 in Thippapuram), taking the total to 376 of 450; the balance 74 Wadis are scheduled for completion by October 2026.</w:t>
      </w:r>
    </w:p>
    <w:p>
      <w:pPr>
        <w:pStyle w:val="ListParagraph"/>
        <w:numPr>
          <w:ilvl w:val="0"/>
          <w:numId w:val="2"/>
        </w:numPr>
        <w:spacing w:after="60" w:line="264"/>
        <w:jc w:val="both"/>
      </w:pPr>
      <w:r>
        <w:rPr>
          <w:rFonts w:ascii="Calibri" w:cs="Calibri" w:eastAsia="Calibri" w:hAnsi="Calibri"/>
        </w:rPr>
        <w:t xml:space="preserve">Medaram FPO received fertiliser, pesticide and seed sales licences in April 2026.</w:t>
      </w:r>
    </w:p>
    <w:p>
      <w:pPr>
        <w:pStyle w:val="ListParagraph"/>
        <w:numPr>
          <w:ilvl w:val="0"/>
          <w:numId w:val="2"/>
        </w:numPr>
        <w:spacing w:after="60" w:line="264"/>
        <w:jc w:val="both"/>
      </w:pPr>
      <w:r>
        <w:rPr>
          <w:rFonts w:ascii="Calibri" w:cs="Calibri" w:eastAsia="Calibri" w:hAnsi="Calibri"/>
        </w:rPr>
        <w:t xml:space="preserve">Statutory audit for 2025–26 completed on 16 September 2026 with an unmodified opinion.</w:t>
      </w:r>
    </w:p>
    <w:p>
      <w:pPr>
        <w:spacing w:after="60"/>
      </w:pPr>
    </w:p>
    <w:p>
      <w:pPr>
        <w:pStyle w:val="Heading1"/>
        <w:keepNext/>
      </w:pPr>
      <w:r>
        <w:rPr>
          <w:rFonts w:ascii="Calibri" w:cs="Calibri" w:eastAsia="Calibri" w:hAnsi="Calibri"/>
        </w:rPr>
        <w:t xml:space="preserve">8. Partnerships and Collaborations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00"/>
        <w:gridCol w:w="6238"/>
      </w:tblGrid>
      <w:tr>
        <w:trPr>
          <w:cantSplit/>
          <w:tblHeader/>
        </w:trPr>
        <w:tc>
          <w:tcPr>
            <w:tcW w:type="dxa" w:w="34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Partner</w:t>
            </w:r>
          </w:p>
        </w:tc>
        <w:tc>
          <w:tcPr>
            <w:tcW w:type="dxa" w:w="6238"/>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Area of collaboration</w:t>
            </w:r>
          </w:p>
        </w:tc>
      </w:tr>
      <w:tr>
        <w:trPr>
          <w:cantSplit/>
        </w:trPr>
        <w:tc>
          <w:tcPr>
            <w:tcW w:type="dxa" w:w="3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NABARD</w:t>
            </w:r>
          </w:p>
        </w:tc>
        <w:tc>
          <w:tcPr>
            <w:tcW w:type="dxa" w:w="62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TDF (Venkatapuram; Tadvai &amp; Govindaraopet), FPO promotion, LEDP, marketing stalls and Mango Festival</w:t>
            </w:r>
          </w:p>
        </w:tc>
      </w:tr>
      <w:tr>
        <w:trPr>
          <w:cantSplit/>
        </w:trPr>
        <w:tc>
          <w:tcPr>
            <w:tcW w:type="dxa" w:w="34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Azim Premji Foundation (APF)</w:t>
            </w:r>
          </w:p>
        </w:tc>
        <w:tc>
          <w:tcPr>
            <w:tcW w:type="dxa" w:w="62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Natural farming and access to entitlements – Govindaraopet mandal</w:t>
            </w:r>
          </w:p>
        </w:tc>
      </w:tr>
      <w:tr>
        <w:trPr>
          <w:cantSplit/>
        </w:trPr>
        <w:tc>
          <w:tcPr>
            <w:tcW w:type="dxa" w:w="3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CRPF 39th Battalion</w:t>
            </w:r>
          </w:p>
        </w:tc>
        <w:tc>
          <w:tcPr>
            <w:tcW w:type="dxa" w:w="62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Skill Development and Livelihood Enhancement Programme</w:t>
            </w:r>
          </w:p>
        </w:tc>
      </w:tr>
      <w:tr>
        <w:trPr>
          <w:cantSplit/>
        </w:trPr>
        <w:tc>
          <w:tcPr>
            <w:tcW w:type="dxa" w:w="34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MGNREGS, ITDA &amp; Horticulture Department</w:t>
            </w:r>
          </w:p>
        </w:tc>
        <w:tc>
          <w:tcPr>
            <w:tcW w:type="dxa" w:w="62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Soil and moisture conservation, land development, kitchen-garden seeds</w:t>
            </w:r>
          </w:p>
        </w:tc>
      </w:tr>
      <w:tr>
        <w:trPr>
          <w:cantSplit/>
        </w:trPr>
        <w:tc>
          <w:tcPr>
            <w:tcW w:type="dxa" w:w="3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Telangana Grameena Bank &amp; IKP (SERP)</w:t>
            </w:r>
          </w:p>
        </w:tc>
        <w:tc>
          <w:tcPr>
            <w:tcW w:type="dxa" w:w="62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Bank accounts for TDF and Medaram FPO; SHG credit linkage</w:t>
            </w:r>
          </w:p>
        </w:tc>
      </w:tr>
      <w:tr>
        <w:trPr>
          <w:cantSplit/>
        </w:trPr>
        <w:tc>
          <w:tcPr>
            <w:tcW w:type="dxa" w:w="34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The New India Assurance Co. Ltd.</w:t>
            </w:r>
          </w:p>
        </w:tc>
        <w:tc>
          <w:tcPr>
            <w:tcW w:type="dxa" w:w="62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Livestock insurance</w:t>
            </w:r>
          </w:p>
        </w:tc>
      </w:tr>
      <w:tr>
        <w:trPr>
          <w:cantSplit/>
        </w:trPr>
        <w:tc>
          <w:tcPr>
            <w:tcW w:type="dxa" w:w="34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Mahalakshmi Nursery, Rajahmundry</w:t>
            </w:r>
          </w:p>
        </w:tc>
        <w:tc>
          <w:tcPr>
            <w:tcW w:type="dxa" w:w="62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Technical support for Banganapalli grafting</w:t>
            </w:r>
          </w:p>
        </w:tc>
      </w:tr>
      <w:tr>
        <w:trPr>
          <w:cantSplit/>
        </w:trPr>
        <w:tc>
          <w:tcPr>
            <w:tcW w:type="dxa" w:w="34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Gram Panchayats, VDCs, SHGs and FPOs</w:t>
            </w:r>
          </w:p>
        </w:tc>
        <w:tc>
          <w:tcPr>
            <w:tcW w:type="dxa" w:w="62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Community mobilisation and implementation support</w:t>
            </w:r>
          </w:p>
        </w:tc>
      </w:tr>
    </w:tbl>
    <w:p>
      <w:pPr>
        <w:spacing w:after="140"/>
      </w:pPr>
    </w:p>
    <w:p>
      <w:pPr>
        <w:pStyle w:val="Heading1"/>
        <w:keepNext/>
      </w:pPr>
      <w:r>
        <w:rPr>
          <w:rFonts w:ascii="Calibri" w:cs="Calibri" w:eastAsia="Calibri" w:hAnsi="Calibri"/>
        </w:rPr>
        <w:t xml:space="preserve">9. Challenges, Responses and Learnings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800"/>
        <w:gridCol w:w="5838"/>
      </w:tblGrid>
      <w:tr>
        <w:trPr>
          <w:cantSplit/>
          <w:tblHeader/>
        </w:trPr>
        <w:tc>
          <w:tcPr>
            <w:tcW w:type="dxa" w:w="38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Challenge</w:t>
            </w:r>
          </w:p>
        </w:tc>
        <w:tc>
          <w:tcPr>
            <w:tcW w:type="dxa" w:w="5838"/>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Response by Vanasamakhya</w:t>
            </w:r>
          </w:p>
        </w:tc>
      </w:tr>
      <w:tr>
        <w:trPr>
          <w:cantSplit/>
        </w:trPr>
        <w:tc>
          <w:tcPr>
            <w:tcW w:type="dxa" w:w="38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Forest fire (March) burnt 1,115 mango plants on 19 acres</w:t>
            </w:r>
          </w:p>
        </w:tc>
        <w:tc>
          <w:tcPr>
            <w:tcW w:type="dxa" w:w="58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Damage assessed and reported to NABARD; 1,155 saplings, neem cake, organic manure and neem oil supplied to 19 farmers</w:t>
            </w:r>
          </w:p>
        </w:tc>
      </w:tr>
      <w:tr>
        <w:trPr>
          <w:cantSplit/>
        </w:trPr>
        <w:tc>
          <w:tcPr>
            <w:tcW w:type="dxa" w:w="38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Unseasonal rain and gales (April) broke 140 trees of 31 farmers</w:t>
            </w:r>
          </w:p>
        </w:tc>
        <w:tc>
          <w:tcPr>
            <w:tcW w:type="dxa" w:w="58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Field verification; plant-protection inputs and orchard-management advice to all affected farmers</w:t>
            </w:r>
          </w:p>
        </w:tc>
      </w:tr>
      <w:tr>
        <w:trPr>
          <w:cantSplit/>
        </w:trPr>
        <w:tc>
          <w:tcPr>
            <w:tcW w:type="dxa" w:w="38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Summer water scarcity threatened young plants</w:t>
            </w:r>
          </w:p>
        </w:tc>
        <w:tc>
          <w:tcPr>
            <w:tcW w:type="dxa" w:w="58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Farmers organised and paid for tractor-tanker water supply; Vanasamakhya coordinated</w:t>
            </w:r>
          </w:p>
        </w:tc>
      </w:tr>
      <w:tr>
        <w:trPr>
          <w:cantSplit/>
        </w:trPr>
        <w:tc>
          <w:tcPr>
            <w:tcW w:type="dxa" w:w="38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Delays in Wadi plantation at Venkatapuram (field conditions, water)</w:t>
            </w:r>
          </w:p>
        </w:tc>
        <w:tc>
          <w:tcPr>
            <w:tcW w:type="dxa" w:w="58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Water-resource assets created; 50 more Wadis planted by October 2026 and layout marking under way for the remaining 74</w:t>
            </w:r>
          </w:p>
        </w:tc>
      </w:tr>
      <w:tr>
        <w:trPr>
          <w:cantSplit/>
        </w:trPr>
        <w:tc>
          <w:tcPr>
            <w:tcW w:type="dxa" w:w="38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Low business volume and working capital in new FPOs</w:t>
            </w:r>
          </w:p>
        </w:tc>
        <w:tc>
          <w:tcPr>
            <w:tcW w:type="dxa" w:w="58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Share capital raised to ₹2,000 per member; GST registration and input licences obtained; direct marketing channels opened</w:t>
            </w:r>
          </w:p>
        </w:tc>
      </w:tr>
      <w:tr>
        <w:trPr>
          <w:cantSplit/>
        </w:trPr>
        <w:tc>
          <w:tcPr>
            <w:tcW w:type="dxa" w:w="38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Limited access to skill training in remote border mandals</w:t>
            </w:r>
          </w:p>
        </w:tc>
        <w:tc>
          <w:tcPr>
            <w:tcW w:type="dxa" w:w="58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Partnership with CRPF 39th Battalion to deliver on-site training in five trades</w:t>
            </w:r>
          </w:p>
        </w:tc>
      </w:tr>
    </w:tbl>
    <w:p>
      <w:pPr>
        <w:spacing w:after="140"/>
      </w:pPr>
    </w:p>
    <w:p>
      <w:pPr>
        <w:keepNext/>
        <w:spacing w:after="80" w:before="120"/>
      </w:pPr>
      <w:r>
        <w:rPr>
          <w:rFonts w:ascii="Calibri" w:cs="Calibri" w:eastAsia="Calibri" w:hAnsi="Calibri"/>
          <w:b/>
          <w:bCs/>
          <w:color w:val="14502A"/>
          <w:sz w:val="22"/>
          <w:szCs w:val="22"/>
        </w:rPr>
        <w:t xml:space="preserve">Learnings</w:t>
      </w:r>
    </w:p>
    <w:p>
      <w:pPr>
        <w:pStyle w:val="ListParagraph"/>
        <w:numPr>
          <w:ilvl w:val="0"/>
          <w:numId w:val="2"/>
        </w:numPr>
        <w:spacing w:after="60" w:line="264"/>
        <w:jc w:val="both"/>
      </w:pPr>
      <w:r>
        <w:rPr>
          <w:rFonts w:ascii="Calibri" w:cs="Calibri" w:eastAsia="Calibri" w:hAnsi="Calibri"/>
        </w:rPr>
        <w:t xml:space="preserve">Farmers’ voluntary contribution for summer watering shows growing ownership of the orchards.</w:t>
      </w:r>
    </w:p>
    <w:p>
      <w:pPr>
        <w:pStyle w:val="ListParagraph"/>
        <w:numPr>
          <w:ilvl w:val="0"/>
          <w:numId w:val="2"/>
        </w:numPr>
        <w:spacing w:after="60" w:line="264"/>
        <w:jc w:val="both"/>
      </w:pPr>
      <w:r>
        <w:rPr>
          <w:rFonts w:ascii="Calibri" w:cs="Calibri" w:eastAsia="Calibri" w:hAnsi="Calibri"/>
        </w:rPr>
        <w:t xml:space="preserve">Quick damage assessment and timely donor support helped restore orchards with minimal loss of time.</w:t>
      </w:r>
    </w:p>
    <w:p>
      <w:pPr>
        <w:pStyle w:val="ListParagraph"/>
        <w:numPr>
          <w:ilvl w:val="0"/>
          <w:numId w:val="2"/>
        </w:numPr>
        <w:spacing w:after="60" w:line="264"/>
        <w:jc w:val="both"/>
      </w:pPr>
      <w:r>
        <w:rPr>
          <w:rFonts w:ascii="Calibri" w:cs="Calibri" w:eastAsia="Calibri" w:hAnsi="Calibri"/>
        </w:rPr>
        <w:t xml:space="preserve">Top-working to Banganapalli is a cost-effective way to raise the market value of existing trees.</w:t>
      </w:r>
    </w:p>
    <w:p>
      <w:pPr>
        <w:pStyle w:val="ListParagraph"/>
        <w:numPr>
          <w:ilvl w:val="0"/>
          <w:numId w:val="2"/>
        </w:numPr>
        <w:spacing w:after="60" w:line="264"/>
        <w:jc w:val="both"/>
      </w:pPr>
      <w:r>
        <w:rPr>
          <w:rFonts w:ascii="Calibri" w:cs="Calibri" w:eastAsia="Calibri" w:hAnsi="Calibri"/>
        </w:rPr>
        <w:t xml:space="preserve">Direct institutional marketing (stalls, festivals) fetches significantly better prices than farm-gate sales.</w:t>
      </w:r>
    </w:p>
    <w:p>
      <w:pPr>
        <w:pStyle w:val="ListParagraph"/>
        <w:numPr>
          <w:ilvl w:val="0"/>
          <w:numId w:val="2"/>
        </w:numPr>
        <w:spacing w:after="60" w:line="264"/>
        <w:jc w:val="both"/>
      </w:pPr>
      <w:r>
        <w:rPr>
          <w:rFonts w:ascii="Calibri" w:cs="Calibri" w:eastAsia="Calibri" w:hAnsi="Calibri"/>
        </w:rPr>
        <w:t xml:space="preserve">Convergence with MGNREGS, ITDA and other agencies multiplies the impact of donor investments.</w:t>
      </w:r>
    </w:p>
    <w:p>
      <w:pPr>
        <w:spacing w:after="60"/>
      </w:pPr>
    </w:p>
    <w:p>
      <w:pPr>
        <w:pStyle w:val="Heading1"/>
        <w:keepNext/>
      </w:pPr>
      <w:r>
        <w:rPr>
          <w:rFonts w:ascii="Calibri" w:cs="Calibri" w:eastAsia="Calibri" w:hAnsi="Calibri"/>
        </w:rPr>
        <w:t xml:space="preserve">10. Way Forward (2026–27)</w:t>
      </w:r>
    </w:p>
    <w:p>
      <w:pPr>
        <w:pStyle w:val="ListParagraph"/>
        <w:numPr>
          <w:ilvl w:val="0"/>
          <w:numId w:val="2"/>
        </w:numPr>
        <w:spacing w:after="60" w:line="264"/>
        <w:jc w:val="both"/>
      </w:pPr>
      <w:r>
        <w:rPr>
          <w:rFonts w:ascii="Calibri" w:cs="Calibri" w:eastAsia="Calibri" w:hAnsi="Calibri"/>
        </w:rPr>
        <w:t xml:space="preserve">Complete plantation in the remaining 74 Wadis under TDF–Venkatapuram and ensure high sapling survival through WRD and gap filling.</w:t>
      </w:r>
    </w:p>
    <w:p>
      <w:pPr>
        <w:pStyle w:val="ListParagraph"/>
        <w:numPr>
          <w:ilvl w:val="0"/>
          <w:numId w:val="2"/>
        </w:numPr>
        <w:spacing w:after="60" w:line="264"/>
        <w:jc w:val="both"/>
      </w:pPr>
      <w:r>
        <w:rPr>
          <w:rFonts w:ascii="Calibri" w:cs="Calibri" w:eastAsia="Calibri" w:hAnsi="Calibri"/>
        </w:rPr>
        <w:t xml:space="preserve">Ground the pending mini rice-mill unit and provide handholding to all livelihood units.</w:t>
      </w:r>
    </w:p>
    <w:p>
      <w:pPr>
        <w:pStyle w:val="ListParagraph"/>
        <w:numPr>
          <w:ilvl w:val="0"/>
          <w:numId w:val="2"/>
        </w:numPr>
        <w:spacing w:after="60" w:line="264"/>
        <w:jc w:val="both"/>
      </w:pPr>
      <w:r>
        <w:rPr>
          <w:rFonts w:ascii="Calibri" w:cs="Calibri" w:eastAsia="Calibri" w:hAnsi="Calibri"/>
        </w:rPr>
        <w:t xml:space="preserve">Strengthen Maa Thota management – irrigation, plant protection, fire lines and extension of Banganapalli grafting.</w:t>
      </w:r>
    </w:p>
    <w:p>
      <w:pPr>
        <w:pStyle w:val="ListParagraph"/>
        <w:numPr>
          <w:ilvl w:val="0"/>
          <w:numId w:val="2"/>
        </w:numPr>
        <w:spacing w:after="60" w:line="264"/>
        <w:jc w:val="both"/>
      </w:pPr>
      <w:r>
        <w:rPr>
          <w:rFonts w:ascii="Calibri" w:cs="Calibri" w:eastAsia="Calibri" w:hAnsi="Calibri"/>
        </w:rPr>
        <w:t xml:space="preserve">Expand Medaram FPO’s input business and fruit aggregation; increase share capital to ₹2,000 per member.</w:t>
      </w:r>
    </w:p>
    <w:p>
      <w:pPr>
        <w:pStyle w:val="ListParagraph"/>
        <w:numPr>
          <w:ilvl w:val="0"/>
          <w:numId w:val="2"/>
        </w:numPr>
        <w:spacing w:after="60" w:line="264"/>
        <w:jc w:val="both"/>
      </w:pPr>
      <w:r>
        <w:rPr>
          <w:rFonts w:ascii="Calibri" w:cs="Calibri" w:eastAsia="Calibri" w:hAnsi="Calibri"/>
        </w:rPr>
        <w:t xml:space="preserve">Scale up SSFPCL marketing – Gram Dukan, institutional sales and annual Mango Festival with NABARD.</w:t>
      </w:r>
    </w:p>
    <w:p>
      <w:pPr>
        <w:pStyle w:val="ListParagraph"/>
        <w:numPr>
          <w:ilvl w:val="0"/>
          <w:numId w:val="2"/>
        </w:numPr>
        <w:spacing w:after="60" w:line="264"/>
        <w:jc w:val="both"/>
      </w:pPr>
      <w:r>
        <w:rPr>
          <w:rFonts w:ascii="Calibri" w:cs="Calibri" w:eastAsia="Calibri" w:hAnsi="Calibri"/>
        </w:rPr>
        <w:t xml:space="preserve">Complete credit linkage for LEDP-trained women and utilise the second tranche for beekeeping enterprises.</w:t>
      </w:r>
    </w:p>
    <w:p>
      <w:pPr>
        <w:pStyle w:val="ListParagraph"/>
        <w:numPr>
          <w:ilvl w:val="0"/>
          <w:numId w:val="2"/>
        </w:numPr>
        <w:spacing w:after="60" w:line="264"/>
        <w:jc w:val="both"/>
      </w:pPr>
      <w:r>
        <w:rPr>
          <w:rFonts w:ascii="Calibri" w:cs="Calibri" w:eastAsia="Calibri" w:hAnsi="Calibri"/>
        </w:rPr>
        <w:t xml:space="preserve">Roll out natural farming trainings and demonstration plots under the APF project.</w:t>
      </w:r>
    </w:p>
    <w:p>
      <w:pPr>
        <w:pStyle w:val="ListParagraph"/>
        <w:numPr>
          <w:ilvl w:val="0"/>
          <w:numId w:val="2"/>
        </w:numPr>
        <w:spacing w:after="60" w:line="264"/>
        <w:jc w:val="both"/>
      </w:pPr>
      <w:r>
        <w:rPr>
          <w:rFonts w:ascii="Calibri" w:cs="Calibri" w:eastAsia="Calibri" w:hAnsi="Calibri"/>
        </w:rPr>
        <w:t xml:space="preserve">Provide post-training follow-up and market linkage for CRPF-trained youth and women.</w:t>
      </w:r>
    </w:p>
    <w:p>
      <w:pPr>
        <w:spacing w:after="60"/>
      </w:pPr>
    </w:p>
    <w:p>
      <w:pPr>
        <w:pStyle w:val="Heading1"/>
        <w:keepNext/>
      </w:pPr>
      <w:r>
        <w:rPr>
          <w:rFonts w:ascii="Calibri" w:cs="Calibri" w:eastAsia="Calibri" w:hAnsi="Calibri"/>
        </w:rPr>
        <w:t xml:space="preserve">11. Acknowledgements</w:t>
      </w:r>
    </w:p>
    <w:p>
      <w:pPr>
        <w:spacing w:after="120" w:line="276"/>
        <w:jc w:val="both"/>
      </w:pPr>
      <w:r>
        <w:rPr>
          <w:rFonts w:ascii="Calibri" w:cs="Calibri" w:eastAsia="Calibri" w:hAnsi="Calibri"/>
        </w:rPr>
        <w:t xml:space="preserve">We extend our sincere gratitude to </w:t>
      </w:r>
      <w:r>
        <w:rPr>
          <w:rFonts w:ascii="Calibri" w:cs="Calibri" w:eastAsia="Calibri" w:hAnsi="Calibri"/>
          <w:b/>
          <w:bCs/>
        </w:rPr>
        <w:t xml:space="preserve">NABARD</w:t>
      </w:r>
      <w:r>
        <w:rPr>
          <w:rFonts w:ascii="Calibri" w:cs="Calibri" w:eastAsia="Calibri" w:hAnsi="Calibri"/>
        </w:rPr>
        <w:t xml:space="preserve"> – the Chief General Manager and officers of the Telangana Regional Office and the District Development Managers – for their sustained support and guidance. We thank Azim Premji Foundation, CRPF 39th Battalion, ITDA, the Horticulture and Agriculture Departments, MGNREGS, Telangana Grameena Bank, IKP, Gram Panchayats, SHGs, VDCs and both FPOs for their valuable cooperation.</w:t>
      </w:r>
    </w:p>
    <w:p>
      <w:pPr>
        <w:spacing w:after="120" w:line="276"/>
        <w:jc w:val="both"/>
      </w:pPr>
      <w:r>
        <w:rPr>
          <w:rFonts w:ascii="Calibri" w:cs="Calibri" w:eastAsia="Calibri" w:hAnsi="Calibri"/>
        </w:rPr>
        <w:t xml:space="preserve">Most importantly, we acknowledge the tribal communities of Mulugu district, whose active participation, resilience and trust remain the foundation of Vanasamakhya’s journey.</w:t>
      </w:r>
    </w:p>
    <w:p>
      <w:pPr>
        <w:pStyle w:val="Heading1"/>
        <w:keepNext/>
      </w:pPr>
      <w:r>
        <w:rPr>
          <w:rFonts w:ascii="Calibri" w:cs="Calibri" w:eastAsia="Calibri" w:hAnsi="Calibri"/>
        </w:rPr>
        <w:t xml:space="preserve">12. Governance, Compliance and Transparency</w:t>
      </w:r>
    </w:p>
    <w:p>
      <w:pPr>
        <w:spacing w:after="120" w:line="276"/>
        <w:jc w:val="both"/>
      </w:pPr>
      <w:r>
        <w:rPr>
          <w:rFonts w:ascii="Calibri" w:cs="Calibri" w:eastAsia="Calibri" w:hAnsi="Calibri"/>
        </w:rPr>
        <w:t xml:space="preserve">Vanasamakhya maintains separate books and bank accounts for each funded project and makes its records available for donor monitoring. Key compliance actions during the year were: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rPr>
          <w:cantSplit/>
          <w:tblHeader/>
        </w:trPr>
        <w:tc>
          <w:tcPr>
            <w:tcW w:type="dxa" w:w="26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Area</w:t>
            </w:r>
          </w:p>
        </w:tc>
        <w:tc>
          <w:tcPr>
            <w:tcW w:type="dxa" w:w="7038"/>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Status during 2025–26</w:t>
            </w:r>
          </w:p>
        </w:tc>
      </w:tr>
      <w:tr>
        <w:trPr>
          <w:cantSplit/>
        </w:trPr>
        <w:tc>
          <w:tcPr>
            <w:tcW w:type="dxa" w:w="2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Statutory audit</w:t>
            </w:r>
          </w:p>
        </w:tc>
        <w:tc>
          <w:tcPr>
            <w:tcW w:type="dxa" w:w="70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Accounts for FY 2025–26 audited by M/s Sampath &amp; Ramesh, Chartered Accountants; unmodified (clean) opinion dated 16.09.2026</w:t>
            </w:r>
          </w:p>
        </w:tc>
      </w:tr>
      <w:tr>
        <w:trPr>
          <w:cantSplit/>
        </w:trPr>
        <w:tc>
          <w:tcPr>
            <w:tcW w:type="dxa" w:w="26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Income tax</w:t>
            </w:r>
          </w:p>
        </w:tc>
        <w:tc>
          <w:tcPr>
            <w:tcW w:type="dxa" w:w="70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Return computation for AY 2026–27 prepared; income applied to objects and accumulated under Section 11 – taxable income NIL</w:t>
            </w:r>
          </w:p>
        </w:tc>
      </w:tr>
      <w:tr>
        <w:trPr>
          <w:cantSplit/>
        </w:trPr>
        <w:tc>
          <w:tcPr>
            <w:tcW w:type="dxa" w:w="2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Project-wise bank accounts</w:t>
            </w:r>
          </w:p>
        </w:tc>
        <w:tc>
          <w:tcPr>
            <w:tcW w:type="dxa" w:w="70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Separate accounts maintained: Axis Bank (APF project), TGB Venkatapuram and SBI Govindaraopet (TDF PIA accounts), SBI Lalaguda (main account and fixed deposit)</w:t>
            </w:r>
          </w:p>
        </w:tc>
      </w:tr>
      <w:tr>
        <w:trPr>
          <w:cantSplit/>
        </w:trPr>
        <w:tc>
          <w:tcPr>
            <w:tcW w:type="dxa" w:w="26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Banking KYC</w:t>
            </w:r>
          </w:p>
        </w:tc>
        <w:tc>
          <w:tcPr>
            <w:tcW w:type="dxa" w:w="70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New TDF account opened at TGB, Pasra Nagaram, and CKYC number obtained</w:t>
            </w:r>
          </w:p>
        </w:tc>
      </w:tr>
      <w:tr>
        <w:trPr>
          <w:cantSplit/>
        </w:trPr>
        <w:tc>
          <w:tcPr>
            <w:tcW w:type="dxa" w:w="2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Donor verification</w:t>
            </w:r>
          </w:p>
        </w:tc>
        <w:tc>
          <w:tcPr>
            <w:tcW w:type="dxa" w:w="70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NABARD field verification of the TDF (Tadvai &amp; Govindaraopet) Project Completion Report on 20.05.2025</w:t>
            </w:r>
          </w:p>
        </w:tc>
      </w:tr>
      <w:tr>
        <w:trPr>
          <w:cantSplit/>
        </w:trPr>
        <w:tc>
          <w:tcPr>
            <w:tcW w:type="dxa" w:w="26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Community institutions</w:t>
            </w:r>
          </w:p>
        </w:tc>
        <w:tc>
          <w:tcPr>
            <w:tcW w:type="dxa" w:w="70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Medaram FPO: bank account, GST registration (36AAXAM5730D1ZB) and input-dealer licences obtained; member receipts issued for all share capital</w:t>
            </w:r>
          </w:p>
        </w:tc>
      </w:tr>
      <w:tr>
        <w:trPr>
          <w:cantSplit/>
        </w:trPr>
        <w:tc>
          <w:tcPr>
            <w:tcW w:type="dxa" w:w="2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Records management</w:t>
            </w:r>
          </w:p>
        </w:tc>
        <w:tc>
          <w:tcPr>
            <w:tcW w:type="dxa" w:w="70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Project files, bills, beneficiary data and field reports updated and secured at the Pasra field office</w:t>
            </w:r>
          </w:p>
        </w:tc>
      </w:tr>
    </w:tbl>
    <w:p>
      <w:pPr>
        <w:spacing w:after="140"/>
      </w:pPr>
    </w:p>
    <w:p>
      <w:pPr>
        <w:pStyle w:val="Heading1"/>
        <w:keepNext/>
      </w:pPr>
      <w:r>
        <w:rPr>
          <w:rFonts w:ascii="Calibri" w:cs="Calibri" w:eastAsia="Calibri" w:hAnsi="Calibri"/>
        </w:rPr>
        <w:t xml:space="preserve">13. Financial Statements 2025–26</w:t>
      </w:r>
    </w:p>
    <w:p>
      <w:pPr>
        <w:spacing w:after="120" w:line="276"/>
        <w:jc w:val="both"/>
      </w:pPr>
      <w:r>
        <w:rPr>
          <w:rFonts w:ascii="Calibri" w:cs="Calibri" w:eastAsia="Calibri" w:hAnsi="Calibri"/>
        </w:rPr>
        <w:t xml:space="preserve">The accounts of Vanasamakhya for the year ended 31 March 2026 were audited by </w:t>
      </w:r>
      <w:r>
        <w:rPr>
          <w:rFonts w:ascii="Calibri" w:cs="Calibri" w:eastAsia="Calibri" w:hAnsi="Calibri"/>
          <w:b/>
          <w:bCs/>
        </w:rPr>
        <w:t xml:space="preserve">M/s Sampath &amp; Ramesh, Chartered Accountants (FRN 005947S)</w:t>
      </w:r>
      <w:r>
        <w:rPr>
          <w:rFonts w:ascii="Calibri" w:cs="Calibri" w:eastAsia="Calibri" w:hAnsi="Calibri"/>
        </w:rPr>
        <w:t xml:space="preserve">. In the auditor’s opinion, the financial statements give a true and fair view of the state of affairs of the Society as at 31 March 2026, of the excess of income over expenditure, and of the receipts and payments for the year (report dated 16.09.2026; Partner CA Jyotsana R, M.No. 232625; UDIN 26232625ARIMYH8994). The audited statements are summarised below and reproduced in full in Annexure 1.</w:t>
      </w:r>
    </w:p>
    <w:p>
      <w:pPr>
        <w:pStyle w:val="Heading2"/>
        <w:keepNext/>
      </w:pPr>
      <w:r>
        <w:rPr>
          <w:rFonts w:ascii="Calibri" w:cs="Calibri" w:eastAsia="Calibri" w:hAnsi="Calibri"/>
        </w:rPr>
        <w:t xml:space="preserve">13.1 Grant Utilisation by Programme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38"/>
        <w:gridCol w:w="1900"/>
        <w:gridCol w:w="1900"/>
        <w:gridCol w:w="1800"/>
      </w:tblGrid>
      <w:tr>
        <w:trPr>
          <w:cantSplit/>
          <w:tblHeader/>
        </w:trPr>
        <w:tc>
          <w:tcPr>
            <w:tcW w:type="dxa" w:w="4038"/>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Programme / source</w:t>
            </w:r>
          </w:p>
        </w:tc>
        <w:tc>
          <w:tcPr>
            <w:tcW w:type="dxa" w:w="19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9"/>
                <w:szCs w:val="19"/>
              </w:rPr>
              <w:t xml:space="preserve">Received in 2025–26 (₹)</w:t>
            </w:r>
          </w:p>
        </w:tc>
        <w:tc>
          <w:tcPr>
            <w:tcW w:type="dxa" w:w="19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9"/>
                <w:szCs w:val="19"/>
              </w:rPr>
              <w:t xml:space="preserve">Spent in 2025–26 (₹)</w:t>
            </w:r>
          </w:p>
        </w:tc>
        <w:tc>
          <w:tcPr>
            <w:tcW w:type="dxa" w:w="18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9"/>
                <w:szCs w:val="19"/>
              </w:rPr>
              <w:t xml:space="preserve">Utilisation</w:t>
            </w:r>
          </w:p>
        </w:tc>
      </w:tr>
      <w:tr>
        <w:trPr>
          <w:cantSplit/>
        </w:trPr>
        <w:tc>
          <w:tcPr>
            <w:tcW w:type="dxa" w:w="40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NABARD – TDF Venkatapuram project</w:t>
            </w:r>
          </w:p>
        </w:tc>
        <w:tc>
          <w:tcPr>
            <w:tcW w:type="dxa" w:w="19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right"/>
            </w:pPr>
            <w:r>
              <w:rPr>
                <w:rFonts w:ascii="Calibri" w:cs="Calibri" w:eastAsia="Calibri" w:hAnsi="Calibri"/>
                <w:b w:val="false"/>
                <w:bCs w:val="false"/>
                <w:sz w:val="19"/>
                <w:szCs w:val="19"/>
              </w:rPr>
              <w:t xml:space="preserve">14,81,900</w:t>
            </w:r>
          </w:p>
        </w:tc>
        <w:tc>
          <w:tcPr>
            <w:tcW w:type="dxa" w:w="19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right"/>
            </w:pPr>
            <w:r>
              <w:rPr>
                <w:rFonts w:ascii="Calibri" w:cs="Calibri" w:eastAsia="Calibri" w:hAnsi="Calibri"/>
                <w:b w:val="false"/>
                <w:bCs w:val="false"/>
                <w:sz w:val="19"/>
                <w:szCs w:val="19"/>
              </w:rPr>
              <w:t xml:space="preserve">12,04,158</w:t>
            </w:r>
          </w:p>
        </w:tc>
        <w:tc>
          <w:tcPr>
            <w:tcW w:type="dxa" w:w="18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center"/>
            </w:pPr>
            <w:r>
              <w:rPr>
                <w:rFonts w:ascii="Calibri" w:cs="Calibri" w:eastAsia="Calibri" w:hAnsi="Calibri"/>
                <w:b w:val="false"/>
                <w:bCs w:val="false"/>
                <w:sz w:val="19"/>
                <w:szCs w:val="19"/>
              </w:rPr>
              <w:t xml:space="preserve">81%</w:t>
            </w:r>
          </w:p>
        </w:tc>
      </w:tr>
      <w:tr>
        <w:trPr>
          <w:cantSplit/>
        </w:trPr>
        <w:tc>
          <w:tcPr>
            <w:tcW w:type="dxa" w:w="40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Azim Premji Foundation – natural farming (started Jan 2026)</w:t>
            </w:r>
          </w:p>
        </w:tc>
        <w:tc>
          <w:tcPr>
            <w:tcW w:type="dxa" w:w="19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14,24,000</w:t>
            </w:r>
          </w:p>
        </w:tc>
        <w:tc>
          <w:tcPr>
            <w:tcW w:type="dxa" w:w="19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2,60,482</w:t>
            </w:r>
          </w:p>
        </w:tc>
        <w:tc>
          <w:tcPr>
            <w:tcW w:type="dxa" w:w="18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18%</w:t>
            </w:r>
          </w:p>
        </w:tc>
      </w:tr>
      <w:tr>
        <w:trPr>
          <w:cantSplit/>
        </w:trPr>
        <w:tc>
          <w:tcPr>
            <w:tcW w:type="dxa" w:w="40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CRPF 39th Battalion – skill development</w:t>
            </w:r>
          </w:p>
        </w:tc>
        <w:tc>
          <w:tcPr>
            <w:tcW w:type="dxa" w:w="19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10,43,550</w:t>
            </w:r>
          </w:p>
        </w:tc>
        <w:tc>
          <w:tcPr>
            <w:tcW w:type="dxa" w:w="19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10,22,650</w:t>
            </w:r>
          </w:p>
        </w:tc>
        <w:tc>
          <w:tcPr>
            <w:tcW w:type="dxa" w:w="18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98%</w:t>
            </w:r>
          </w:p>
        </w:tc>
      </w:tr>
      <w:tr>
        <w:trPr>
          <w:cantSplit/>
        </w:trPr>
        <w:tc>
          <w:tcPr>
            <w:tcW w:type="dxa" w:w="40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LEDP and other trainings</w:t>
            </w:r>
          </w:p>
        </w:tc>
        <w:tc>
          <w:tcPr>
            <w:tcW w:type="dxa" w:w="19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w:t>
            </w:r>
          </w:p>
        </w:tc>
        <w:tc>
          <w:tcPr>
            <w:tcW w:type="dxa" w:w="19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1,08,553</w:t>
            </w:r>
          </w:p>
        </w:tc>
        <w:tc>
          <w:tcPr>
            <w:tcW w:type="dxa" w:w="18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w:t>
            </w:r>
          </w:p>
        </w:tc>
      </w:tr>
      <w:tr>
        <w:trPr>
          <w:cantSplit/>
        </w:trPr>
        <w:tc>
          <w:tcPr>
            <w:tcW w:type="dxa" w:w="40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Medaram FPO (advance received)</w:t>
            </w:r>
          </w:p>
        </w:tc>
        <w:tc>
          <w:tcPr>
            <w:tcW w:type="dxa" w:w="19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93,995</w:t>
            </w:r>
          </w:p>
        </w:tc>
        <w:tc>
          <w:tcPr>
            <w:tcW w:type="dxa" w:w="19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w:t>
            </w:r>
          </w:p>
        </w:tc>
        <w:tc>
          <w:tcPr>
            <w:tcW w:type="dxa" w:w="18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w:t>
            </w:r>
          </w:p>
        </w:tc>
      </w:tr>
      <w:tr>
        <w:trPr>
          <w:cantSplit/>
        </w:trPr>
        <w:tc>
          <w:tcPr>
            <w:tcW w:type="dxa" w:w="40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Bank interest / bank charges</w:t>
            </w:r>
          </w:p>
        </w:tc>
        <w:tc>
          <w:tcPr>
            <w:tcW w:type="dxa" w:w="19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45,031</w:t>
            </w:r>
          </w:p>
        </w:tc>
        <w:tc>
          <w:tcPr>
            <w:tcW w:type="dxa" w:w="19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468</w:t>
            </w:r>
          </w:p>
        </w:tc>
        <w:tc>
          <w:tcPr>
            <w:tcW w:type="dxa" w:w="18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val="false"/>
                <w:bCs w:val="false"/>
                <w:sz w:val="19"/>
                <w:szCs w:val="19"/>
              </w:rPr>
              <w:t xml:space="preserve">–</w:t>
            </w:r>
          </w:p>
        </w:tc>
      </w:tr>
      <w:tr>
        <w:trPr>
          <w:cantSplit/>
        </w:trPr>
        <w:tc>
          <w:tcPr>
            <w:tcW w:type="dxa" w:w="4038"/>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bCs/>
                <w:sz w:val="19"/>
                <w:szCs w:val="19"/>
              </w:rPr>
              <w:t xml:space="preserve">Total</w:t>
            </w:r>
          </w:p>
        </w:tc>
        <w:tc>
          <w:tcPr>
            <w:tcW w:type="dxa" w:w="1900"/>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bCs/>
                <w:sz w:val="19"/>
                <w:szCs w:val="19"/>
              </w:rPr>
              <w:t xml:space="preserve">40,88,476</w:t>
            </w:r>
          </w:p>
        </w:tc>
        <w:tc>
          <w:tcPr>
            <w:tcW w:type="dxa" w:w="1900"/>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bCs/>
                <w:sz w:val="19"/>
                <w:szCs w:val="19"/>
              </w:rPr>
              <w:t xml:space="preserve">25,96,311</w:t>
            </w:r>
          </w:p>
        </w:tc>
        <w:tc>
          <w:tcPr>
            <w:tcW w:type="dxa" w:w="1800"/>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center"/>
            </w:pPr>
            <w:r>
              <w:rPr>
                <w:rFonts w:ascii="Calibri" w:cs="Calibri" w:eastAsia="Calibri" w:hAnsi="Calibri"/>
                <w:b/>
                <w:bCs/>
                <w:sz w:val="19"/>
                <w:szCs w:val="19"/>
              </w:rPr>
              <w:t xml:space="preserve">64%</w:t>
            </w:r>
          </w:p>
        </w:tc>
      </w:tr>
    </w:tbl>
    <w:p>
      <w:pPr>
        <w:spacing w:after="140"/>
      </w:pPr>
    </w:p>
    <w:p>
      <w:pPr>
        <w:spacing w:after="160" w:before="0"/>
      </w:pPr>
      <w:r>
        <w:rPr>
          <w:rFonts w:ascii="Calibri" w:cs="Calibri" w:eastAsia="Calibri" w:hAnsi="Calibri"/>
          <w:i/>
          <w:iCs/>
          <w:color w:val="595959"/>
          <w:sz w:val="17"/>
          <w:szCs w:val="17"/>
        </w:rPr>
        <w:t xml:space="preserve">Unspent balances (APF ₹11.70 lakh; TDF Venkatapuram balance held in the PIA account) are carried forward for programme activities in 2026–27.</w:t>
      </w:r>
    </w:p>
    <w:p>
      <w:pPr>
        <w:keepNext/>
        <w:jc w:val="center"/>
      </w:pPr>
      <w:r>
        <w:drawing>
          <wp:inline distT="0" distB="0" distL="0" distR="0">
            <wp:extent cx="5334000" cy="2152650"/>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334000" cy="2152650"/>
                    </a:xfrm>
                    <a:prstGeom prst="rect">
                      <a:avLst/>
                    </a:prstGeom>
                  </pic:spPr>
                </pic:pic>
              </a:graphicData>
            </a:graphic>
          </wp:inline>
        </w:drawing>
      </w:r>
    </w:p>
    <w:p>
      <w:pPr>
        <w:spacing w:after="120" w:before="40"/>
        <w:jc w:val="center"/>
      </w:pPr>
      <w:r>
        <w:rPr>
          <w:rFonts w:ascii="Calibri" w:cs="Calibri" w:eastAsia="Calibri" w:hAnsi="Calibri"/>
          <w:i/>
          <w:iCs/>
          <w:color w:val="595959"/>
          <w:sz w:val="18"/>
          <w:szCs w:val="18"/>
        </w:rPr>
        <w:t xml:space="preserve">Figure 2: Grants received and spent by programme, 2025–26 (₹ lakh)</w:t>
      </w:r>
    </w:p>
    <w:p>
      <w:pPr>
        <w:pStyle w:val="Heading2"/>
        <w:keepNext/>
      </w:pPr>
      <w:r>
        <w:rPr>
          <w:rFonts w:ascii="Calibri" w:cs="Calibri" w:eastAsia="Calibri" w:hAnsi="Calibri"/>
        </w:rPr>
        <w:t xml:space="preserve">13.2 Income and Expenditure Account for the year ended 31.03.2026</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9"/>
        <w:gridCol w:w="1600"/>
        <w:gridCol w:w="3219"/>
        <w:gridCol w:w="1600"/>
      </w:tblGrid>
      <w:tr>
        <w:trPr>
          <w:cantSplit/>
          <w:tblHeader/>
        </w:trPr>
        <w:tc>
          <w:tcPr>
            <w:tcW w:type="dxa" w:w="3219"/>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Expenditure</w:t>
            </w:r>
          </w:p>
        </w:tc>
        <w:tc>
          <w:tcPr>
            <w:tcW w:type="dxa" w:w="16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9"/>
                <w:szCs w:val="19"/>
              </w:rPr>
              <w:t xml:space="preserve">Amount (₹)</w:t>
            </w:r>
          </w:p>
        </w:tc>
        <w:tc>
          <w:tcPr>
            <w:tcW w:type="dxa" w:w="3219"/>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Income</w:t>
            </w:r>
          </w:p>
        </w:tc>
        <w:tc>
          <w:tcPr>
            <w:tcW w:type="dxa" w:w="16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9"/>
                <w:szCs w:val="19"/>
              </w:rPr>
              <w:t xml:space="preserve">Amount (₹)</w:t>
            </w:r>
          </w:p>
        </w:tc>
      </w:tr>
      <w:tr>
        <w:trPr>
          <w:cantSplit/>
        </w:trPr>
        <w:tc>
          <w:tcPr>
            <w:tcW w:type="dxa" w:w="3219"/>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APF project expenditure</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right"/>
            </w:pPr>
            <w:r>
              <w:rPr>
                <w:rFonts w:ascii="Calibri" w:cs="Calibri" w:eastAsia="Calibri" w:hAnsi="Calibri"/>
                <w:b w:val="false"/>
                <w:bCs w:val="false"/>
                <w:sz w:val="19"/>
                <w:szCs w:val="19"/>
              </w:rPr>
              <w:t xml:space="preserve">2,60,482</w:t>
            </w:r>
          </w:p>
        </w:tc>
        <w:tc>
          <w:tcPr>
            <w:tcW w:type="dxa" w:w="3219"/>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Grants from NABARD</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right"/>
            </w:pPr>
            <w:r>
              <w:rPr>
                <w:rFonts w:ascii="Calibri" w:cs="Calibri" w:eastAsia="Calibri" w:hAnsi="Calibri"/>
                <w:b w:val="false"/>
                <w:bCs w:val="false"/>
                <w:sz w:val="19"/>
                <w:szCs w:val="19"/>
              </w:rPr>
              <w:t xml:space="preserve">14,81,900</w:t>
            </w:r>
          </w:p>
        </w:tc>
      </w:tr>
      <w:tr>
        <w:trPr>
          <w:cantSplit/>
        </w:trPr>
        <w:tc>
          <w:tcPr>
            <w:tcW w:type="dxa" w:w="3219"/>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TDF project expenditure – Venkatapuram</w:t>
            </w:r>
          </w:p>
        </w:tc>
        <w:tc>
          <w:tcPr>
            <w:tcW w:type="dxa" w:w="16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12,04,158</w:t>
            </w:r>
          </w:p>
        </w:tc>
        <w:tc>
          <w:tcPr>
            <w:tcW w:type="dxa" w:w="3219"/>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Grant from APF</w:t>
            </w:r>
          </w:p>
        </w:tc>
        <w:tc>
          <w:tcPr>
            <w:tcW w:type="dxa" w:w="16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14,24,000</w:t>
            </w:r>
          </w:p>
        </w:tc>
      </w:tr>
      <w:tr>
        <w:trPr>
          <w:cantSplit/>
        </w:trPr>
        <w:tc>
          <w:tcPr>
            <w:tcW w:type="dxa" w:w="3219"/>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CRPF trainings</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10,22,650</w:t>
            </w:r>
          </w:p>
        </w:tc>
        <w:tc>
          <w:tcPr>
            <w:tcW w:type="dxa" w:w="3219"/>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CRPF trainings</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10,43,550</w:t>
            </w:r>
          </w:p>
        </w:tc>
      </w:tr>
      <w:tr>
        <w:trPr>
          <w:cantSplit/>
        </w:trPr>
        <w:tc>
          <w:tcPr>
            <w:tcW w:type="dxa" w:w="3219"/>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LEDP and other trainings</w:t>
            </w:r>
          </w:p>
        </w:tc>
        <w:tc>
          <w:tcPr>
            <w:tcW w:type="dxa" w:w="16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1,08,553</w:t>
            </w:r>
          </w:p>
        </w:tc>
        <w:tc>
          <w:tcPr>
            <w:tcW w:type="dxa" w:w="3219"/>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Medaram FPO</w:t>
            </w:r>
          </w:p>
        </w:tc>
        <w:tc>
          <w:tcPr>
            <w:tcW w:type="dxa" w:w="16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93,995</w:t>
            </w:r>
          </w:p>
        </w:tc>
      </w:tr>
      <w:tr>
        <w:trPr>
          <w:cantSplit/>
        </w:trPr>
        <w:tc>
          <w:tcPr>
            <w:tcW w:type="dxa" w:w="3219"/>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Bank charges</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468</w:t>
            </w:r>
          </w:p>
        </w:tc>
        <w:tc>
          <w:tcPr>
            <w:tcW w:type="dxa" w:w="3219"/>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Bank interest</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45,031</w:t>
            </w:r>
          </w:p>
        </w:tc>
      </w:tr>
      <w:tr>
        <w:trPr>
          <w:cantSplit/>
        </w:trPr>
        <w:tc>
          <w:tcPr>
            <w:tcW w:type="dxa" w:w="3219"/>
            <w:tcBorders>
              <w:top w:val="single" w:color="A6A6A6" w:sz="4"/>
              <w:left w:val="single" w:color="A6A6A6" w:sz="4"/>
              <w:bottom w:val="single" w:color="A6A6A6" w:sz="4"/>
              <w:right w:val="single" w:color="A6A6A6" w:sz="4"/>
            </w:tcBorders>
            <w:shd w:fill="F2F2F2"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bCs/>
                <w:sz w:val="19"/>
                <w:szCs w:val="19"/>
              </w:rPr>
              <w:t xml:space="preserve">Excess of income over expenditure</w:t>
            </w:r>
          </w:p>
        </w:tc>
        <w:tc>
          <w:tcPr>
            <w:tcW w:type="dxa" w:w="1600"/>
            <w:tcBorders>
              <w:top w:val="single" w:color="A6A6A6" w:sz="4"/>
              <w:left w:val="single" w:color="A6A6A6" w:sz="4"/>
              <w:bottom w:val="single" w:color="A6A6A6" w:sz="4"/>
              <w:right w:val="single" w:color="A6A6A6" w:sz="4"/>
            </w:tcBorders>
            <w:shd w:fill="F2F2F2"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bCs/>
                <w:sz w:val="19"/>
                <w:szCs w:val="19"/>
              </w:rPr>
              <w:t xml:space="preserve">14,92,165</w:t>
            </w:r>
          </w:p>
        </w:tc>
        <w:tc>
          <w:tcPr>
            <w:tcW w:type="dxa" w:w="3219"/>
            <w:tcBorders>
              <w:top w:val="single" w:color="A6A6A6" w:sz="4"/>
              <w:left w:val="single" w:color="A6A6A6" w:sz="4"/>
              <w:bottom w:val="single" w:color="A6A6A6" w:sz="4"/>
              <w:right w:val="single" w:color="A6A6A6" w:sz="4"/>
            </w:tcBorders>
            <w:shd w:fill="F2F2F2" w:color="auto" w:val="clear"/>
            <w:tcMar>
              <w:top w:type="dxa" w:w="60"/>
              <w:left w:type="dxa" w:w="100"/>
              <w:bottom w:type="dxa" w:w="60"/>
              <w:right w:type="dxa" w:w="100"/>
            </w:tcMar>
            <w:vAlign w:val="center"/>
          </w:tcPr>
          <w:p>
            <w:pPr>
              <w:keepNext w:val="false"/>
              <w:spacing w:after="0" w:line="252"/>
              <w:jc w:val="left"/>
            </w:pPr>
          </w:p>
        </w:tc>
        <w:tc>
          <w:tcPr>
            <w:tcW w:type="dxa" w:w="1600"/>
            <w:tcBorders>
              <w:top w:val="single" w:color="A6A6A6" w:sz="4"/>
              <w:left w:val="single" w:color="A6A6A6" w:sz="4"/>
              <w:bottom w:val="single" w:color="A6A6A6" w:sz="4"/>
              <w:right w:val="single" w:color="A6A6A6" w:sz="4"/>
            </w:tcBorders>
            <w:shd w:fill="F2F2F2" w:color="auto" w:val="clear"/>
            <w:tcMar>
              <w:top w:type="dxa" w:w="60"/>
              <w:left w:type="dxa" w:w="100"/>
              <w:bottom w:type="dxa" w:w="60"/>
              <w:right w:type="dxa" w:w="100"/>
            </w:tcMar>
            <w:vAlign w:val="center"/>
          </w:tcPr>
          <w:p>
            <w:pPr>
              <w:keepNext w:val="false"/>
              <w:spacing w:after="0" w:line="252"/>
              <w:jc w:val="right"/>
            </w:pPr>
          </w:p>
        </w:tc>
      </w:tr>
      <w:tr>
        <w:trPr>
          <w:cantSplit/>
        </w:trPr>
        <w:tc>
          <w:tcPr>
            <w:tcW w:type="dxa" w:w="3219"/>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bCs/>
                <w:sz w:val="19"/>
                <w:szCs w:val="19"/>
              </w:rPr>
              <w:t xml:space="preserve">Total</w:t>
            </w:r>
          </w:p>
        </w:tc>
        <w:tc>
          <w:tcPr>
            <w:tcW w:type="dxa" w:w="1600"/>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bCs/>
                <w:sz w:val="19"/>
                <w:szCs w:val="19"/>
              </w:rPr>
              <w:t xml:space="preserve">40,88,476</w:t>
            </w:r>
          </w:p>
        </w:tc>
        <w:tc>
          <w:tcPr>
            <w:tcW w:type="dxa" w:w="3219"/>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bCs/>
                <w:sz w:val="19"/>
                <w:szCs w:val="19"/>
              </w:rPr>
              <w:t xml:space="preserve">Total</w:t>
            </w:r>
          </w:p>
        </w:tc>
        <w:tc>
          <w:tcPr>
            <w:tcW w:type="dxa" w:w="1600"/>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bCs/>
                <w:sz w:val="19"/>
                <w:szCs w:val="19"/>
              </w:rPr>
              <w:t xml:space="preserve">40,88,476</w:t>
            </w:r>
          </w:p>
        </w:tc>
      </w:tr>
    </w:tbl>
    <w:p>
      <w:pPr>
        <w:spacing w:after="140"/>
      </w:pPr>
    </w:p>
    <w:p>
      <w:pPr>
        <w:pStyle w:val="Heading2"/>
        <w:keepNext/>
      </w:pPr>
      <w:r>
        <w:rPr>
          <w:rFonts w:ascii="Calibri" w:cs="Calibri" w:eastAsia="Calibri" w:hAnsi="Calibri"/>
        </w:rPr>
        <w:t xml:space="preserve">13.3 Receipts and Payments Account for the period 01.04.2025 to 31.03.2026</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9"/>
        <w:gridCol w:w="1600"/>
        <w:gridCol w:w="3219"/>
        <w:gridCol w:w="1600"/>
      </w:tblGrid>
      <w:tr>
        <w:trPr>
          <w:cantSplit/>
          <w:tblHeader/>
        </w:trPr>
        <w:tc>
          <w:tcPr>
            <w:tcW w:type="dxa" w:w="3219"/>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Receipts</w:t>
            </w:r>
          </w:p>
        </w:tc>
        <w:tc>
          <w:tcPr>
            <w:tcW w:type="dxa" w:w="16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9"/>
                <w:szCs w:val="19"/>
              </w:rPr>
              <w:t xml:space="preserve">Amount (₹)</w:t>
            </w:r>
          </w:p>
        </w:tc>
        <w:tc>
          <w:tcPr>
            <w:tcW w:type="dxa" w:w="3219"/>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Payments</w:t>
            </w:r>
          </w:p>
        </w:tc>
        <w:tc>
          <w:tcPr>
            <w:tcW w:type="dxa" w:w="16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9"/>
                <w:szCs w:val="19"/>
              </w:rPr>
              <w:t xml:space="preserve">Amount (₹)</w:t>
            </w:r>
          </w:p>
        </w:tc>
      </w:tr>
      <w:tr>
        <w:trPr>
          <w:cantSplit/>
        </w:trPr>
        <w:tc>
          <w:tcPr>
            <w:tcW w:type="dxa" w:w="3219"/>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bCs/>
                <w:sz w:val="19"/>
                <w:szCs w:val="19"/>
              </w:rPr>
              <w:t xml:space="preserve">Opening balance</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right"/>
            </w:pPr>
          </w:p>
        </w:tc>
        <w:tc>
          <w:tcPr>
            <w:tcW w:type="dxa" w:w="3219"/>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APF project expenditure</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right"/>
            </w:pPr>
            <w:r>
              <w:rPr>
                <w:rFonts w:ascii="Calibri" w:cs="Calibri" w:eastAsia="Calibri" w:hAnsi="Calibri"/>
                <w:b w:val="false"/>
                <w:bCs w:val="false"/>
                <w:sz w:val="19"/>
                <w:szCs w:val="19"/>
              </w:rPr>
              <w:t xml:space="preserve">2,50,563</w:t>
            </w:r>
          </w:p>
        </w:tc>
      </w:tr>
      <w:tr>
        <w:trPr>
          <w:cantSplit/>
        </w:trPr>
        <w:tc>
          <w:tcPr>
            <w:tcW w:type="dxa" w:w="3219"/>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Cash at SBI Lalaguda branch</w:t>
            </w:r>
          </w:p>
        </w:tc>
        <w:tc>
          <w:tcPr>
            <w:tcW w:type="dxa" w:w="16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5,15,794</w:t>
            </w:r>
          </w:p>
        </w:tc>
        <w:tc>
          <w:tcPr>
            <w:tcW w:type="dxa" w:w="3219"/>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TDF project expenditure – VP project</w:t>
            </w:r>
          </w:p>
        </w:tc>
        <w:tc>
          <w:tcPr>
            <w:tcW w:type="dxa" w:w="16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11,93,130</w:t>
            </w:r>
          </w:p>
        </w:tc>
      </w:tr>
      <w:tr>
        <w:trPr>
          <w:cantSplit/>
        </w:trPr>
        <w:tc>
          <w:tcPr>
            <w:tcW w:type="dxa" w:w="3219"/>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Cash at SBI Govindaraopet (PIA)</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5,375</w:t>
            </w:r>
          </w:p>
        </w:tc>
        <w:tc>
          <w:tcPr>
            <w:tcW w:type="dxa" w:w="3219"/>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CRPF trainings</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10,22,650</w:t>
            </w:r>
          </w:p>
        </w:tc>
      </w:tr>
      <w:tr>
        <w:trPr>
          <w:cantSplit/>
        </w:trPr>
        <w:tc>
          <w:tcPr>
            <w:tcW w:type="dxa" w:w="3219"/>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Cash at TGB Venkatapuram (PIA)</w:t>
            </w:r>
          </w:p>
        </w:tc>
        <w:tc>
          <w:tcPr>
            <w:tcW w:type="dxa" w:w="16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2,12,855</w:t>
            </w:r>
          </w:p>
        </w:tc>
        <w:tc>
          <w:tcPr>
            <w:tcW w:type="dxa" w:w="3219"/>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LEDP programme</w:t>
            </w:r>
          </w:p>
        </w:tc>
        <w:tc>
          <w:tcPr>
            <w:tcW w:type="dxa" w:w="16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1,08,553</w:t>
            </w:r>
          </w:p>
        </w:tc>
      </w:tr>
      <w:tr>
        <w:trPr>
          <w:cantSplit/>
        </w:trPr>
        <w:tc>
          <w:tcPr>
            <w:tcW w:type="dxa" w:w="3219"/>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Fixed deposit with SBI Lalaguda</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2,89,667</w:t>
            </w:r>
          </w:p>
        </w:tc>
        <w:tc>
          <w:tcPr>
            <w:tcW w:type="dxa" w:w="3219"/>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Bank charges</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468</w:t>
            </w:r>
          </w:p>
        </w:tc>
      </w:tr>
      <w:tr>
        <w:trPr>
          <w:cantSplit/>
        </w:trPr>
        <w:tc>
          <w:tcPr>
            <w:tcW w:type="dxa" w:w="3219"/>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bCs/>
                <w:sz w:val="19"/>
                <w:szCs w:val="19"/>
              </w:rPr>
              <w:t xml:space="preserve">Receipts</w:t>
            </w:r>
          </w:p>
        </w:tc>
        <w:tc>
          <w:tcPr>
            <w:tcW w:type="dxa" w:w="16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p>
        </w:tc>
        <w:tc>
          <w:tcPr>
            <w:tcW w:type="dxa" w:w="3219"/>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Previous year payables</w:t>
            </w:r>
          </w:p>
        </w:tc>
        <w:tc>
          <w:tcPr>
            <w:tcW w:type="dxa" w:w="16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1,61,152</w:t>
            </w:r>
          </w:p>
        </w:tc>
      </w:tr>
      <w:tr>
        <w:trPr>
          <w:cantSplit/>
        </w:trPr>
        <w:tc>
          <w:tcPr>
            <w:tcW w:type="dxa" w:w="3219"/>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Grants from NABARD – V. Puram project</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14,81,900</w:t>
            </w:r>
          </w:p>
        </w:tc>
        <w:tc>
          <w:tcPr>
            <w:tcW w:type="dxa" w:w="3219"/>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bCs/>
                <w:sz w:val="19"/>
                <w:szCs w:val="19"/>
              </w:rPr>
              <w:t xml:space="preserve">Closing balance</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p>
        </w:tc>
      </w:tr>
      <w:tr>
        <w:trPr>
          <w:cantSplit/>
        </w:trPr>
        <w:tc>
          <w:tcPr>
            <w:tcW w:type="dxa" w:w="3219"/>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CRPF training programme</w:t>
            </w:r>
          </w:p>
        </w:tc>
        <w:tc>
          <w:tcPr>
            <w:tcW w:type="dxa" w:w="16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10,43,550</w:t>
            </w:r>
          </w:p>
        </w:tc>
        <w:tc>
          <w:tcPr>
            <w:tcW w:type="dxa" w:w="3219"/>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Cash at Axis Bank – APF</w:t>
            </w:r>
          </w:p>
        </w:tc>
        <w:tc>
          <w:tcPr>
            <w:tcW w:type="dxa" w:w="16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11,79,593</w:t>
            </w:r>
          </w:p>
        </w:tc>
      </w:tr>
      <w:tr>
        <w:trPr>
          <w:cantSplit/>
        </w:trPr>
        <w:tc>
          <w:tcPr>
            <w:tcW w:type="dxa" w:w="3219"/>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Grants from APF</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14,24,000</w:t>
            </w:r>
          </w:p>
        </w:tc>
        <w:tc>
          <w:tcPr>
            <w:tcW w:type="dxa" w:w="3219"/>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Cash at SBI Lalaguda branch</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30,047</w:t>
            </w:r>
          </w:p>
        </w:tc>
      </w:tr>
      <w:tr>
        <w:trPr>
          <w:cantSplit/>
        </w:trPr>
        <w:tc>
          <w:tcPr>
            <w:tcW w:type="dxa" w:w="3219"/>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Advance – Medaram FPO</w:t>
            </w:r>
          </w:p>
        </w:tc>
        <w:tc>
          <w:tcPr>
            <w:tcW w:type="dxa" w:w="16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93,995</w:t>
            </w:r>
          </w:p>
        </w:tc>
        <w:tc>
          <w:tcPr>
            <w:tcW w:type="dxa" w:w="3219"/>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Cash at SBI Govindaraopet (PIA)</w:t>
            </w:r>
          </w:p>
        </w:tc>
        <w:tc>
          <w:tcPr>
            <w:tcW w:type="dxa" w:w="16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5,375</w:t>
            </w:r>
          </w:p>
        </w:tc>
      </w:tr>
      <w:tr>
        <w:trPr>
          <w:cantSplit/>
        </w:trPr>
        <w:tc>
          <w:tcPr>
            <w:tcW w:type="dxa" w:w="3219"/>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Advance received from Suresh</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20,000</w:t>
            </w:r>
          </w:p>
        </w:tc>
        <w:tc>
          <w:tcPr>
            <w:tcW w:type="dxa" w:w="3219"/>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Cash at TGB Venkatapuram (PIA)</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8,66,990</w:t>
            </w:r>
          </w:p>
        </w:tc>
      </w:tr>
      <w:tr>
        <w:trPr>
          <w:cantSplit/>
        </w:trPr>
        <w:tc>
          <w:tcPr>
            <w:tcW w:type="dxa" w:w="3219"/>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Bank interest from banks</w:t>
            </w:r>
          </w:p>
        </w:tc>
        <w:tc>
          <w:tcPr>
            <w:tcW w:type="dxa" w:w="16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38,875</w:t>
            </w:r>
          </w:p>
        </w:tc>
        <w:tc>
          <w:tcPr>
            <w:tcW w:type="dxa" w:w="3219"/>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Fixed deposit with SBI Lalaguda</w:t>
            </w:r>
          </w:p>
        </w:tc>
        <w:tc>
          <w:tcPr>
            <w:tcW w:type="dxa" w:w="16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3,13,646</w:t>
            </w:r>
          </w:p>
        </w:tc>
      </w:tr>
      <w:tr>
        <w:trPr>
          <w:cantSplit/>
        </w:trPr>
        <w:tc>
          <w:tcPr>
            <w:tcW w:type="dxa" w:w="3219"/>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APF bank interest</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6,156</w:t>
            </w:r>
          </w:p>
        </w:tc>
        <w:tc>
          <w:tcPr>
            <w:tcW w:type="dxa" w:w="3219"/>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p>
        </w:tc>
      </w:tr>
      <w:tr>
        <w:trPr>
          <w:cantSplit/>
        </w:trPr>
        <w:tc>
          <w:tcPr>
            <w:tcW w:type="dxa" w:w="3219"/>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bCs/>
                <w:sz w:val="19"/>
                <w:szCs w:val="19"/>
              </w:rPr>
              <w:t xml:space="preserve">Total</w:t>
            </w:r>
          </w:p>
        </w:tc>
        <w:tc>
          <w:tcPr>
            <w:tcW w:type="dxa" w:w="1600"/>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bCs/>
                <w:sz w:val="19"/>
                <w:szCs w:val="19"/>
              </w:rPr>
              <w:t xml:space="preserve">51,32,167</w:t>
            </w:r>
          </w:p>
        </w:tc>
        <w:tc>
          <w:tcPr>
            <w:tcW w:type="dxa" w:w="3219"/>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bCs/>
                <w:sz w:val="19"/>
                <w:szCs w:val="19"/>
              </w:rPr>
              <w:t xml:space="preserve">Total</w:t>
            </w:r>
          </w:p>
        </w:tc>
        <w:tc>
          <w:tcPr>
            <w:tcW w:type="dxa" w:w="1600"/>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bCs/>
                <w:sz w:val="19"/>
                <w:szCs w:val="19"/>
              </w:rPr>
              <w:t xml:space="preserve">51,32,167</w:t>
            </w:r>
          </w:p>
        </w:tc>
      </w:tr>
    </w:tbl>
    <w:p>
      <w:pPr>
        <w:spacing w:after="140"/>
      </w:pPr>
    </w:p>
    <w:p>
      <w:pPr>
        <w:pStyle w:val="Heading2"/>
        <w:keepNext/>
      </w:pPr>
      <w:r>
        <w:rPr>
          <w:rFonts w:ascii="Calibri" w:cs="Calibri" w:eastAsia="Calibri" w:hAnsi="Calibri"/>
        </w:rPr>
        <w:t xml:space="preserve">13.4 Balance Sheet as on 31.03.2026</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9"/>
        <w:gridCol w:w="1600"/>
        <w:gridCol w:w="3219"/>
        <w:gridCol w:w="1600"/>
      </w:tblGrid>
      <w:tr>
        <w:trPr>
          <w:cantSplit/>
          <w:tblHeader/>
        </w:trPr>
        <w:tc>
          <w:tcPr>
            <w:tcW w:type="dxa" w:w="3219"/>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Liabilities</w:t>
            </w:r>
          </w:p>
        </w:tc>
        <w:tc>
          <w:tcPr>
            <w:tcW w:type="dxa" w:w="16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9"/>
                <w:szCs w:val="19"/>
              </w:rPr>
              <w:t xml:space="preserve">Amount (₹)</w:t>
            </w:r>
          </w:p>
        </w:tc>
        <w:tc>
          <w:tcPr>
            <w:tcW w:type="dxa" w:w="3219"/>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Assets</w:t>
            </w:r>
          </w:p>
        </w:tc>
        <w:tc>
          <w:tcPr>
            <w:tcW w:type="dxa" w:w="16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9"/>
                <w:szCs w:val="19"/>
              </w:rPr>
              <w:t xml:space="preserve">Amount (₹)</w:t>
            </w:r>
          </w:p>
        </w:tc>
      </w:tr>
      <w:tr>
        <w:trPr>
          <w:cantSplit/>
        </w:trPr>
        <w:tc>
          <w:tcPr>
            <w:tcW w:type="dxa" w:w="3219"/>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General reserve</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right"/>
            </w:pPr>
            <w:r>
              <w:rPr>
                <w:rFonts w:ascii="Calibri" w:cs="Calibri" w:eastAsia="Calibri" w:hAnsi="Calibri"/>
                <w:b w:val="false"/>
                <w:bCs w:val="false"/>
                <w:sz w:val="19"/>
                <w:szCs w:val="19"/>
              </w:rPr>
              <w:t xml:space="preserve">9,40,949</w:t>
            </w:r>
          </w:p>
        </w:tc>
        <w:tc>
          <w:tcPr>
            <w:tcW w:type="dxa" w:w="3219"/>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TDS receivable</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right"/>
            </w:pPr>
            <w:r>
              <w:rPr>
                <w:rFonts w:ascii="Calibri" w:cs="Calibri" w:eastAsia="Calibri" w:hAnsi="Calibri"/>
                <w:b w:val="false"/>
                <w:bCs w:val="false"/>
                <w:sz w:val="19"/>
                <w:szCs w:val="19"/>
              </w:rPr>
              <w:t xml:space="preserve">3,500</w:t>
            </w:r>
          </w:p>
        </w:tc>
      </w:tr>
      <w:tr>
        <w:trPr>
          <w:cantSplit/>
        </w:trPr>
        <w:tc>
          <w:tcPr>
            <w:tcW w:type="dxa" w:w="3219"/>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Add: Excess of income over expenditure</w:t>
            </w:r>
          </w:p>
        </w:tc>
        <w:tc>
          <w:tcPr>
            <w:tcW w:type="dxa" w:w="16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14,92,165</w:t>
            </w:r>
          </w:p>
        </w:tc>
        <w:tc>
          <w:tcPr>
            <w:tcW w:type="dxa" w:w="3219"/>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Advance to staff</w:t>
            </w:r>
          </w:p>
        </w:tc>
        <w:tc>
          <w:tcPr>
            <w:tcW w:type="dxa" w:w="16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54,910</w:t>
            </w:r>
          </w:p>
        </w:tc>
      </w:tr>
      <w:tr>
        <w:trPr>
          <w:cantSplit/>
        </w:trPr>
        <w:tc>
          <w:tcPr>
            <w:tcW w:type="dxa" w:w="3219"/>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bCs/>
                <w:sz w:val="19"/>
                <w:szCs w:val="19"/>
              </w:rPr>
              <w:t xml:space="preserve">Total reserves</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bCs/>
                <w:sz w:val="19"/>
                <w:szCs w:val="19"/>
              </w:rPr>
              <w:t xml:space="preserve">24,33,114</w:t>
            </w:r>
          </w:p>
        </w:tc>
        <w:tc>
          <w:tcPr>
            <w:tcW w:type="dxa" w:w="3219"/>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Cash at Axis Bank – APF</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11,79,593</w:t>
            </w:r>
          </w:p>
        </w:tc>
      </w:tr>
      <w:tr>
        <w:trPr>
          <w:cantSplit/>
        </w:trPr>
        <w:tc>
          <w:tcPr>
            <w:tcW w:type="dxa" w:w="3219"/>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Outstanding payables – TDS payable</w:t>
            </w:r>
          </w:p>
        </w:tc>
        <w:tc>
          <w:tcPr>
            <w:tcW w:type="dxa" w:w="16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20,947</w:t>
            </w:r>
          </w:p>
        </w:tc>
        <w:tc>
          <w:tcPr>
            <w:tcW w:type="dxa" w:w="3219"/>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Cash at SBI Lalaguda branch</w:t>
            </w:r>
          </w:p>
        </w:tc>
        <w:tc>
          <w:tcPr>
            <w:tcW w:type="dxa" w:w="16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30,047</w:t>
            </w:r>
          </w:p>
        </w:tc>
      </w:tr>
      <w:tr>
        <w:trPr>
          <w:cantSplit/>
        </w:trPr>
        <w:tc>
          <w:tcPr>
            <w:tcW w:type="dxa" w:w="3219"/>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p>
        </w:tc>
        <w:tc>
          <w:tcPr>
            <w:tcW w:type="dxa" w:w="3219"/>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Cash at SBI Govindaraopet (PIA)</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5,375</w:t>
            </w:r>
          </w:p>
        </w:tc>
      </w:tr>
      <w:tr>
        <w:trPr>
          <w:cantSplit/>
        </w:trPr>
        <w:tc>
          <w:tcPr>
            <w:tcW w:type="dxa" w:w="3219"/>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p>
        </w:tc>
        <w:tc>
          <w:tcPr>
            <w:tcW w:type="dxa" w:w="16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p>
        </w:tc>
        <w:tc>
          <w:tcPr>
            <w:tcW w:type="dxa" w:w="3219"/>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Cash at TGB Venkatapuram (PIA)</w:t>
            </w:r>
          </w:p>
        </w:tc>
        <w:tc>
          <w:tcPr>
            <w:tcW w:type="dxa" w:w="16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8,66,990</w:t>
            </w:r>
          </w:p>
        </w:tc>
      </w:tr>
      <w:tr>
        <w:trPr>
          <w:cantSplit/>
        </w:trPr>
        <w:tc>
          <w:tcPr>
            <w:tcW w:type="dxa" w:w="3219"/>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p>
        </w:tc>
        <w:tc>
          <w:tcPr>
            <w:tcW w:type="dxa" w:w="3219"/>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Fixed deposit with SBI Lalaguda</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3,13,646</w:t>
            </w:r>
          </w:p>
        </w:tc>
      </w:tr>
      <w:tr>
        <w:trPr>
          <w:cantSplit/>
        </w:trPr>
        <w:tc>
          <w:tcPr>
            <w:tcW w:type="dxa" w:w="3219"/>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bCs/>
                <w:sz w:val="19"/>
                <w:szCs w:val="19"/>
              </w:rPr>
              <w:t xml:space="preserve">Total</w:t>
            </w:r>
          </w:p>
        </w:tc>
        <w:tc>
          <w:tcPr>
            <w:tcW w:type="dxa" w:w="1600"/>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bCs/>
                <w:sz w:val="19"/>
                <w:szCs w:val="19"/>
              </w:rPr>
              <w:t xml:space="preserve">24,54,061</w:t>
            </w:r>
          </w:p>
        </w:tc>
        <w:tc>
          <w:tcPr>
            <w:tcW w:type="dxa" w:w="3219"/>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bCs/>
                <w:sz w:val="19"/>
                <w:szCs w:val="19"/>
              </w:rPr>
              <w:t xml:space="preserve">Total</w:t>
            </w:r>
          </w:p>
        </w:tc>
        <w:tc>
          <w:tcPr>
            <w:tcW w:type="dxa" w:w="1600"/>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bCs/>
                <w:sz w:val="19"/>
                <w:szCs w:val="19"/>
              </w:rPr>
              <w:t xml:space="preserve">24,54,061</w:t>
            </w:r>
          </w:p>
        </w:tc>
      </w:tr>
    </w:tbl>
    <w:p>
      <w:pPr>
        <w:spacing w:after="140"/>
      </w:pPr>
    </w:p>
    <w:p>
      <w:pPr>
        <w:pStyle w:val="Heading2"/>
        <w:keepNext/>
      </w:pPr>
      <w:r>
        <w:rPr>
          <w:rFonts w:ascii="Calibri" w:cs="Calibri" w:eastAsia="Calibri" w:hAnsi="Calibri"/>
        </w:rPr>
        <w:t xml:space="preserve">13.5 APF Project – Income and Expenditure Account (2025–26)</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9"/>
        <w:gridCol w:w="1600"/>
        <w:gridCol w:w="3219"/>
        <w:gridCol w:w="1600"/>
      </w:tblGrid>
      <w:tr>
        <w:trPr>
          <w:cantSplit/>
          <w:tblHeader/>
        </w:trPr>
        <w:tc>
          <w:tcPr>
            <w:tcW w:type="dxa" w:w="3219"/>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Expenditure</w:t>
            </w:r>
          </w:p>
        </w:tc>
        <w:tc>
          <w:tcPr>
            <w:tcW w:type="dxa" w:w="16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9"/>
                <w:szCs w:val="19"/>
              </w:rPr>
              <w:t xml:space="preserve">Amount (₹)</w:t>
            </w:r>
          </w:p>
        </w:tc>
        <w:tc>
          <w:tcPr>
            <w:tcW w:type="dxa" w:w="3219"/>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Income</w:t>
            </w:r>
          </w:p>
        </w:tc>
        <w:tc>
          <w:tcPr>
            <w:tcW w:type="dxa" w:w="16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9"/>
                <w:szCs w:val="19"/>
              </w:rPr>
              <w:t xml:space="preserve">Amount (₹)</w:t>
            </w:r>
          </w:p>
        </w:tc>
      </w:tr>
      <w:tr>
        <w:trPr>
          <w:cantSplit/>
        </w:trPr>
        <w:tc>
          <w:tcPr>
            <w:tcW w:type="dxa" w:w="3219"/>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Salaries</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right"/>
            </w:pPr>
            <w:r>
              <w:rPr>
                <w:rFonts w:ascii="Calibri" w:cs="Calibri" w:eastAsia="Calibri" w:hAnsi="Calibri"/>
                <w:b w:val="false"/>
                <w:bCs w:val="false"/>
                <w:sz w:val="19"/>
                <w:szCs w:val="19"/>
              </w:rPr>
              <w:t xml:space="preserve">1,47,429</w:t>
            </w:r>
          </w:p>
        </w:tc>
        <w:tc>
          <w:tcPr>
            <w:tcW w:type="dxa" w:w="3219"/>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Grant from APPI</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right"/>
            </w:pPr>
            <w:r>
              <w:rPr>
                <w:rFonts w:ascii="Calibri" w:cs="Calibri" w:eastAsia="Calibri" w:hAnsi="Calibri"/>
                <w:b w:val="false"/>
                <w:bCs w:val="false"/>
                <w:sz w:val="19"/>
                <w:szCs w:val="19"/>
              </w:rPr>
              <w:t xml:space="preserve">14,24,000</w:t>
            </w:r>
          </w:p>
        </w:tc>
      </w:tr>
      <w:tr>
        <w:trPr>
          <w:cantSplit/>
        </w:trPr>
        <w:tc>
          <w:tcPr>
            <w:tcW w:type="dxa" w:w="3219"/>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Administration cost</w:t>
            </w:r>
          </w:p>
        </w:tc>
        <w:tc>
          <w:tcPr>
            <w:tcW w:type="dxa" w:w="16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21,988</w:t>
            </w:r>
          </w:p>
        </w:tc>
        <w:tc>
          <w:tcPr>
            <w:tcW w:type="dxa" w:w="3219"/>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Bank interest</w:t>
            </w:r>
          </w:p>
        </w:tc>
        <w:tc>
          <w:tcPr>
            <w:tcW w:type="dxa" w:w="16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6,156</w:t>
            </w:r>
          </w:p>
        </w:tc>
      </w:tr>
      <w:tr>
        <w:trPr>
          <w:cantSplit/>
        </w:trPr>
        <w:tc>
          <w:tcPr>
            <w:tcW w:type="dxa" w:w="3219"/>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Travel, boarding and lodging</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10,565</w:t>
            </w:r>
          </w:p>
        </w:tc>
        <w:tc>
          <w:tcPr>
            <w:tcW w:type="dxa" w:w="3219"/>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p>
        </w:tc>
      </w:tr>
      <w:tr>
        <w:trPr>
          <w:cantSplit/>
        </w:trPr>
        <w:tc>
          <w:tcPr>
            <w:tcW w:type="dxa" w:w="3219"/>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Capital cost</w:t>
            </w:r>
          </w:p>
        </w:tc>
        <w:tc>
          <w:tcPr>
            <w:tcW w:type="dxa" w:w="16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70,500</w:t>
            </w:r>
          </w:p>
        </w:tc>
        <w:tc>
          <w:tcPr>
            <w:tcW w:type="dxa" w:w="3219"/>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p>
        </w:tc>
        <w:tc>
          <w:tcPr>
            <w:tcW w:type="dxa" w:w="16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p>
        </w:tc>
      </w:tr>
      <w:tr>
        <w:trPr>
          <w:cantSplit/>
        </w:trPr>
        <w:tc>
          <w:tcPr>
            <w:tcW w:type="dxa" w:w="3219"/>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Programme cost</w:t>
            </w: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10,000</w:t>
            </w:r>
          </w:p>
        </w:tc>
        <w:tc>
          <w:tcPr>
            <w:tcW w:type="dxa" w:w="3219"/>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p>
        </w:tc>
        <w:tc>
          <w:tcPr>
            <w:tcW w:type="dxa" w:w="16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p>
        </w:tc>
      </w:tr>
      <w:tr>
        <w:trPr>
          <w:cantSplit/>
        </w:trPr>
        <w:tc>
          <w:tcPr>
            <w:tcW w:type="dxa" w:w="3219"/>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Excess of income over expenditure</w:t>
            </w:r>
          </w:p>
        </w:tc>
        <w:tc>
          <w:tcPr>
            <w:tcW w:type="dxa" w:w="16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11,69,674</w:t>
            </w:r>
          </w:p>
        </w:tc>
        <w:tc>
          <w:tcPr>
            <w:tcW w:type="dxa" w:w="3219"/>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p>
        </w:tc>
        <w:tc>
          <w:tcPr>
            <w:tcW w:type="dxa" w:w="16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p>
        </w:tc>
      </w:tr>
      <w:tr>
        <w:trPr>
          <w:cantSplit/>
        </w:trPr>
        <w:tc>
          <w:tcPr>
            <w:tcW w:type="dxa" w:w="3219"/>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bCs/>
                <w:sz w:val="19"/>
                <w:szCs w:val="19"/>
              </w:rPr>
              <w:t xml:space="preserve">Total</w:t>
            </w:r>
          </w:p>
        </w:tc>
        <w:tc>
          <w:tcPr>
            <w:tcW w:type="dxa" w:w="1600"/>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bCs/>
                <w:sz w:val="19"/>
                <w:szCs w:val="19"/>
              </w:rPr>
              <w:t xml:space="preserve">14,30,156</w:t>
            </w:r>
          </w:p>
        </w:tc>
        <w:tc>
          <w:tcPr>
            <w:tcW w:type="dxa" w:w="3219"/>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bCs/>
                <w:sz w:val="19"/>
                <w:szCs w:val="19"/>
              </w:rPr>
              <w:t xml:space="preserve">Total</w:t>
            </w:r>
          </w:p>
        </w:tc>
        <w:tc>
          <w:tcPr>
            <w:tcW w:type="dxa" w:w="1600"/>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bCs/>
                <w:sz w:val="19"/>
                <w:szCs w:val="19"/>
              </w:rPr>
              <w:t xml:space="preserve">14,30,156</w:t>
            </w:r>
          </w:p>
        </w:tc>
      </w:tr>
    </w:tbl>
    <w:p>
      <w:pPr>
        <w:spacing w:after="140"/>
      </w:pPr>
    </w:p>
    <w:p>
      <w:pPr>
        <w:pStyle w:val="Heading2"/>
        <w:keepNext/>
      </w:pPr>
      <w:r>
        <w:rPr>
          <w:rFonts w:ascii="Calibri" w:cs="Calibri" w:eastAsia="Calibri" w:hAnsi="Calibri"/>
        </w:rPr>
        <w:t xml:space="preserve">13.6 Application of Income (Assessment Year 2026–27)</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438"/>
        <w:gridCol w:w="2200"/>
      </w:tblGrid>
      <w:tr>
        <w:trPr>
          <w:cantSplit/>
          <w:tblHeader/>
        </w:trPr>
        <w:tc>
          <w:tcPr>
            <w:tcW w:type="dxa" w:w="7438"/>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left"/>
            </w:pPr>
            <w:r>
              <w:rPr>
                <w:rFonts w:ascii="Calibri" w:cs="Calibri" w:eastAsia="Calibri" w:hAnsi="Calibri"/>
                <w:b/>
                <w:bCs/>
                <w:color w:val="FFFFFF"/>
                <w:sz w:val="19"/>
                <w:szCs w:val="19"/>
              </w:rPr>
              <w:t xml:space="preserve">Particulars</w:t>
            </w:r>
          </w:p>
        </w:tc>
        <w:tc>
          <w:tcPr>
            <w:tcW w:type="dxa" w:w="2200"/>
            <w:tcBorders>
              <w:top w:val="single" w:color="A6A6A6" w:sz="4"/>
              <w:left w:val="single" w:color="A6A6A6" w:sz="4"/>
              <w:bottom w:val="single" w:color="A6A6A6" w:sz="4"/>
              <w:right w:val="single" w:color="A6A6A6" w:sz="4"/>
            </w:tcBorders>
            <w:shd w:fill="1E6B3A" w:color="auto" w:val="clear"/>
            <w:tcMar>
              <w:top w:type="dxa" w:w="60"/>
              <w:left w:type="dxa" w:w="100"/>
              <w:bottom w:type="dxa" w:w="60"/>
              <w:right w:type="dxa" w:w="100"/>
            </w:tcMar>
            <w:vAlign w:val="center"/>
          </w:tcPr>
          <w:p>
            <w:pPr>
              <w:keepNext/>
              <w:spacing w:after="0" w:line="252"/>
              <w:jc w:val="center"/>
            </w:pPr>
            <w:r>
              <w:rPr>
                <w:rFonts w:ascii="Calibri" w:cs="Calibri" w:eastAsia="Calibri" w:hAnsi="Calibri"/>
                <w:b/>
                <w:bCs/>
                <w:color w:val="FFFFFF"/>
                <w:sz w:val="19"/>
                <w:szCs w:val="19"/>
              </w:rPr>
              <w:t xml:space="preserve">Amount (₹)</w:t>
            </w:r>
          </w:p>
        </w:tc>
      </w:tr>
      <w:tr>
        <w:trPr>
          <w:cantSplit/>
        </w:trPr>
        <w:tc>
          <w:tcPr>
            <w:tcW w:type="dxa" w:w="74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left"/>
            </w:pPr>
            <w:r>
              <w:rPr>
                <w:rFonts w:ascii="Calibri" w:cs="Calibri" w:eastAsia="Calibri" w:hAnsi="Calibri"/>
                <w:b w:val="false"/>
                <w:bCs w:val="false"/>
                <w:sz w:val="19"/>
                <w:szCs w:val="19"/>
              </w:rPr>
              <w:t xml:space="preserve">Gross voluntary contributions and income received</w:t>
            </w:r>
          </w:p>
        </w:tc>
        <w:tc>
          <w:tcPr>
            <w:tcW w:type="dxa" w:w="22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spacing w:after="0" w:line="252"/>
              <w:jc w:val="right"/>
            </w:pPr>
            <w:r>
              <w:rPr>
                <w:rFonts w:ascii="Calibri" w:cs="Calibri" w:eastAsia="Calibri" w:hAnsi="Calibri"/>
                <w:b w:val="false"/>
                <w:bCs w:val="false"/>
                <w:sz w:val="19"/>
                <w:szCs w:val="19"/>
              </w:rPr>
              <w:t xml:space="preserve">40,88,476</w:t>
            </w:r>
          </w:p>
        </w:tc>
      </w:tr>
      <w:tr>
        <w:trPr>
          <w:cantSplit/>
        </w:trPr>
        <w:tc>
          <w:tcPr>
            <w:tcW w:type="dxa" w:w="74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Less: 15% of contributions (permissible accumulation)</w:t>
            </w:r>
          </w:p>
        </w:tc>
        <w:tc>
          <w:tcPr>
            <w:tcW w:type="dxa" w:w="22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6,13,271</w:t>
            </w:r>
          </w:p>
        </w:tc>
      </w:tr>
      <w:tr>
        <w:trPr>
          <w:cantSplit/>
        </w:trPr>
        <w:tc>
          <w:tcPr>
            <w:tcW w:type="dxa" w:w="74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Amount to be applied to the objects of the Society</w:t>
            </w:r>
          </w:p>
        </w:tc>
        <w:tc>
          <w:tcPr>
            <w:tcW w:type="dxa" w:w="22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34,75,205</w:t>
            </w:r>
          </w:p>
        </w:tc>
      </w:tr>
      <w:tr>
        <w:trPr>
          <w:cantSplit/>
        </w:trPr>
        <w:tc>
          <w:tcPr>
            <w:tcW w:type="dxa" w:w="7438"/>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Income applied – revenue expenditure (net of outstanding payables)</w:t>
            </w:r>
          </w:p>
        </w:tc>
        <w:tc>
          <w:tcPr>
            <w:tcW w:type="dxa" w:w="2200"/>
            <w:tcBorders>
              <w:top w:val="single" w:color="A6A6A6" w:sz="4"/>
              <w:left w:val="single" w:color="A6A6A6" w:sz="4"/>
              <w:bottom w:val="single" w:color="A6A6A6" w:sz="4"/>
              <w:right w:val="single" w:color="A6A6A6" w:sz="4"/>
            </w:tcBorders>
            <w:shd w:fill="F7FBF8"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25,75,364</w:t>
            </w:r>
          </w:p>
        </w:tc>
      </w:tr>
      <w:tr>
        <w:trPr>
          <w:cantSplit/>
        </w:trPr>
        <w:tc>
          <w:tcPr>
            <w:tcW w:type="dxa" w:w="7438"/>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left"/>
            </w:pPr>
            <w:r>
              <w:rPr>
                <w:rFonts w:ascii="Calibri" w:cs="Calibri" w:eastAsia="Calibri" w:hAnsi="Calibri"/>
                <w:b w:val="false"/>
                <w:bCs w:val="false"/>
                <w:sz w:val="19"/>
                <w:szCs w:val="19"/>
              </w:rPr>
              <w:t xml:space="preserve">Amount deemed applied – option under Explanation to Sec. 11(1), clause (2)</w:t>
            </w:r>
          </w:p>
        </w:tc>
        <w:tc>
          <w:tcPr>
            <w:tcW w:type="dxa" w:w="2200"/>
            <w:tcBorders>
              <w:top w:val="single" w:color="A6A6A6" w:sz="4"/>
              <w:left w:val="single" w:color="A6A6A6" w:sz="4"/>
              <w:bottom w:val="single" w:color="A6A6A6" w:sz="4"/>
              <w:right w:val="single" w:color="A6A6A6" w:sz="4"/>
            </w:tcBorders>
            <w:tcMar>
              <w:top w:type="dxa" w:w="60"/>
              <w:left w:type="dxa" w:w="100"/>
              <w:bottom w:type="dxa" w:w="60"/>
              <w:right w:type="dxa" w:w="100"/>
            </w:tcMar>
            <w:vAlign w:val="center"/>
          </w:tcPr>
          <w:p>
            <w:pPr>
              <w:keepNext w:val="false"/>
              <w:spacing w:after="0" w:line="252"/>
              <w:jc w:val="right"/>
            </w:pPr>
            <w:r>
              <w:rPr>
                <w:rFonts w:ascii="Calibri" w:cs="Calibri" w:eastAsia="Calibri" w:hAnsi="Calibri"/>
                <w:b w:val="false"/>
                <w:bCs w:val="false"/>
                <w:sz w:val="19"/>
                <w:szCs w:val="19"/>
              </w:rPr>
              <w:t xml:space="preserve">8,99,841</w:t>
            </w:r>
          </w:p>
        </w:tc>
      </w:tr>
      <w:tr>
        <w:trPr>
          <w:cantSplit/>
        </w:trPr>
        <w:tc>
          <w:tcPr>
            <w:tcW w:type="dxa" w:w="7438"/>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left"/>
            </w:pPr>
            <w:r>
              <w:rPr>
                <w:rFonts w:ascii="Calibri" w:cs="Calibri" w:eastAsia="Calibri" w:hAnsi="Calibri"/>
                <w:b/>
                <w:bCs/>
                <w:sz w:val="19"/>
                <w:szCs w:val="19"/>
              </w:rPr>
              <w:t xml:space="preserve">Total taxable income</w:t>
            </w:r>
          </w:p>
        </w:tc>
        <w:tc>
          <w:tcPr>
            <w:tcW w:type="dxa" w:w="2200"/>
            <w:tcBorders>
              <w:top w:val="single" w:color="A6A6A6" w:sz="4"/>
              <w:left w:val="single" w:color="A6A6A6" w:sz="4"/>
              <w:bottom w:val="single" w:color="A6A6A6" w:sz="4"/>
              <w:right w:val="single" w:color="A6A6A6" w:sz="4"/>
            </w:tcBorders>
            <w:shd w:fill="D5E8DB" w:color="auto" w:val="clear"/>
            <w:tcMar>
              <w:top w:type="dxa" w:w="60"/>
              <w:left w:type="dxa" w:w="100"/>
              <w:bottom w:type="dxa" w:w="60"/>
              <w:right w:type="dxa" w:w="100"/>
            </w:tcMar>
            <w:vAlign w:val="center"/>
          </w:tcPr>
          <w:p>
            <w:pPr>
              <w:keepNext w:val="false"/>
              <w:spacing w:after="0" w:line="252"/>
              <w:jc w:val="right"/>
            </w:pPr>
            <w:r>
              <w:rPr>
                <w:rFonts w:ascii="Calibri" w:cs="Calibri" w:eastAsia="Calibri" w:hAnsi="Calibri"/>
                <w:b/>
                <w:bCs/>
                <w:sz w:val="19"/>
                <w:szCs w:val="19"/>
              </w:rPr>
              <w:t xml:space="preserve">NIL</w:t>
            </w:r>
          </w:p>
        </w:tc>
      </w:tr>
    </w:tbl>
    <w:p>
      <w:pPr>
        <w:spacing w:after="140"/>
      </w:pPr>
    </w:p>
    <w:p>
      <w:pPr>
        <w:spacing w:after="120" w:before="60"/>
      </w:pPr>
      <w:r>
        <w:rPr>
          <w:rFonts w:ascii="Calibri" w:cs="Calibri" w:eastAsia="Calibri" w:hAnsi="Calibri"/>
          <w:i/>
          <w:iCs/>
          <w:color w:val="595959"/>
          <w:sz w:val="18"/>
          <w:szCs w:val="18"/>
        </w:rPr>
        <w:t xml:space="preserve">Note: Figures are as per the audited financial statements. The excess of income over expenditure largely represents unspent grant balances of ongoing projects (APF and TDF–Venkatapuram) carried forward for use in 2026–27.</w:t>
      </w:r>
    </w:p>
    <w:p>
      <w:pPr>
        <w:spacing w:before="240"/>
      </w:pPr>
      <w:r>
        <w:rPr>
          <w:rFonts w:ascii="Calibri" w:cs="Calibri" w:eastAsia="Calibri" w:hAnsi="Calibri"/>
          <w:b/>
          <w:bCs/>
        </w:rPr>
        <w:t xml:space="preserve">For Vanasamakhya</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3212"/>
        <w:gridCol w:w="3212"/>
        <w:gridCol w:w="3212"/>
      </w:tblGrid>
      <w:tr>
        <w:tc>
          <w:tcPr>
            <w:tcW w:type="dxa" w:w="3212"/>
            <w:tcBorders>
              <w:top w:val="none" w:color="FFFFFF" w:sz="0"/>
              <w:left w:val="none" w:color="FFFFFF" w:sz="0"/>
              <w:bottom w:val="none" w:color="FFFFFF" w:sz="0"/>
              <w:right w:val="none" w:color="FFFFFF" w:sz="0"/>
            </w:tcBorders>
          </w:tcPr>
          <w:p>
            <w:pPr>
              <w:spacing w:after="0" w:before="600"/>
              <w:jc w:val="center"/>
            </w:pPr>
            <w:r>
              <w:rPr>
                <w:rFonts w:ascii="Calibri" w:cs="Calibri" w:eastAsia="Calibri" w:hAnsi="Calibri"/>
                <w:b/>
                <w:bCs/>
              </w:rPr>
              <w:t xml:space="preserve">D. Srinivasulu</w:t>
            </w:r>
          </w:p>
          <w:p>
            <w:pPr>
              <w:jc w:val="center"/>
            </w:pPr>
            <w:r>
              <w:rPr>
                <w:rFonts w:ascii="Calibri" w:cs="Calibri" w:eastAsia="Calibri" w:hAnsi="Calibri"/>
                <w:color w:val="595959"/>
                <w:sz w:val="19"/>
                <w:szCs w:val="19"/>
              </w:rPr>
              <w:t xml:space="preserve">Secretary &amp; Chief Functionary</w:t>
            </w:r>
          </w:p>
        </w:tc>
        <w:tc>
          <w:tcPr>
            <w:tcW w:type="dxa" w:w="3212"/>
            <w:tcBorders>
              <w:top w:val="none" w:color="FFFFFF" w:sz="0"/>
              <w:left w:val="none" w:color="FFFFFF" w:sz="0"/>
              <w:bottom w:val="none" w:color="FFFFFF" w:sz="0"/>
              <w:right w:val="none" w:color="FFFFFF" w:sz="0"/>
            </w:tcBorders>
          </w:tcPr>
          <w:p>
            <w:pPr>
              <w:spacing w:after="0" w:before="600"/>
              <w:jc w:val="center"/>
            </w:pPr>
            <w:r>
              <w:rPr>
                <w:rFonts w:ascii="Calibri" w:cs="Calibri" w:eastAsia="Calibri" w:hAnsi="Calibri"/>
                <w:b/>
                <w:bCs/>
              </w:rPr>
              <w:t xml:space="preserve">Ch. Ramulu</w:t>
            </w:r>
          </w:p>
          <w:p>
            <w:pPr>
              <w:jc w:val="center"/>
            </w:pPr>
            <w:r>
              <w:rPr>
                <w:rFonts w:ascii="Calibri" w:cs="Calibri" w:eastAsia="Calibri" w:hAnsi="Calibri"/>
                <w:color w:val="595959"/>
                <w:sz w:val="19"/>
                <w:szCs w:val="19"/>
              </w:rPr>
              <w:t xml:space="preserve">Treasurer</w:t>
            </w:r>
          </w:p>
        </w:tc>
        <w:tc>
          <w:tcPr>
            <w:tcW w:type="dxa" w:w="3212"/>
            <w:tcBorders>
              <w:top w:val="none" w:color="FFFFFF" w:sz="0"/>
              <w:left w:val="none" w:color="FFFFFF" w:sz="0"/>
              <w:bottom w:val="none" w:color="FFFFFF" w:sz="0"/>
              <w:right w:val="none" w:color="FFFFFF" w:sz="0"/>
            </w:tcBorders>
          </w:tcPr>
          <w:p>
            <w:pPr>
              <w:spacing w:after="0" w:before="600"/>
              <w:jc w:val="center"/>
            </w:pPr>
            <w:r>
              <w:rPr>
                <w:rFonts w:ascii="Calibri" w:cs="Calibri" w:eastAsia="Calibri" w:hAnsi="Calibri"/>
                <w:b/>
                <w:bCs/>
              </w:rPr>
              <w:t xml:space="preserve">Place: Hyderabad</w:t>
            </w:r>
          </w:p>
          <w:p>
            <w:pPr>
              <w:jc w:val="center"/>
            </w:pPr>
            <w:r>
              <w:rPr>
                <w:rFonts w:ascii="Calibri" w:cs="Calibri" w:eastAsia="Calibri" w:hAnsi="Calibri"/>
                <w:color w:val="595959"/>
                <w:sz w:val="19"/>
                <w:szCs w:val="19"/>
              </w:rPr>
              <w:t xml:space="preserve">Date: ____________</w:t>
            </w:r>
          </w:p>
        </w:tc>
      </w:tr>
    </w:tbl>
    <w:p>
      <w:r>
        <w:br w:type="page"/>
      </w:r>
    </w:p>
    <w:p>
      <w:pPr>
        <w:pStyle w:val="Heading1"/>
        <w:keepNext/>
      </w:pPr>
      <w:r>
        <w:rPr>
          <w:rFonts w:ascii="Calibri" w:cs="Calibri" w:eastAsia="Calibri" w:hAnsi="Calibri"/>
        </w:rPr>
        <w:t xml:space="preserve">Annexure 1: Audited Financial Statements 2025–26</w:t>
      </w:r>
    </w:p>
    <w:p>
      <w:pPr>
        <w:spacing w:after="40"/>
        <w:jc w:val="center"/>
      </w:pPr>
      <w:r>
        <w:drawing>
          <wp:inline distT="0" distB="0" distL="0" distR="0">
            <wp:extent cx="4762500" cy="7143750"/>
            <wp:effectExtent t="0" r="0" b="0" l="0"/>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4762500" cy="7143750"/>
                    </a:xfrm>
                    <a:prstGeom prst="rect">
                      <a:avLst/>
                    </a:prstGeom>
                  </pic:spPr>
                </pic:pic>
              </a:graphicData>
            </a:graphic>
          </wp:inline>
        </w:drawing>
      </w:r>
    </w:p>
    <w:p>
      <w:pPr>
        <w:spacing w:after="120" w:before="40"/>
        <w:jc w:val="center"/>
      </w:pPr>
      <w:r>
        <w:rPr>
          <w:rFonts w:ascii="Calibri" w:cs="Calibri" w:eastAsia="Calibri" w:hAnsi="Calibri"/>
          <w:i/>
          <w:iCs/>
          <w:color w:val="595959"/>
          <w:sz w:val="18"/>
          <w:szCs w:val="18"/>
        </w:rPr>
        <w:t xml:space="preserve">Independent Auditor’s Report (page 1)</w:t>
      </w:r>
    </w:p>
    <w:p>
      <w:r>
        <w:br w:type="page"/>
      </w:r>
    </w:p>
    <w:p>
      <w:pPr>
        <w:spacing w:after="40"/>
        <w:jc w:val="center"/>
      </w:pPr>
      <w:r>
        <w:drawing>
          <wp:inline distT="0" distB="0" distL="0" distR="0">
            <wp:extent cx="5048250" cy="7429500"/>
            <wp:effectExtent t="0" r="0" b="0" l="0"/>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048250" cy="7429500"/>
                    </a:xfrm>
                    <a:prstGeom prst="rect">
                      <a:avLst/>
                    </a:prstGeom>
                  </pic:spPr>
                </pic:pic>
              </a:graphicData>
            </a:graphic>
          </wp:inline>
        </w:drawing>
      </w:r>
    </w:p>
    <w:p>
      <w:pPr>
        <w:spacing w:after="120" w:before="40"/>
        <w:jc w:val="center"/>
      </w:pPr>
      <w:r>
        <w:rPr>
          <w:rFonts w:ascii="Calibri" w:cs="Calibri" w:eastAsia="Calibri" w:hAnsi="Calibri"/>
          <w:i/>
          <w:iCs/>
          <w:color w:val="595959"/>
          <w:sz w:val="18"/>
          <w:szCs w:val="18"/>
        </w:rPr>
        <w:t xml:space="preserve">Independent Auditor’s Report – Opinion (page 2)</w:t>
      </w:r>
    </w:p>
    <w:p>
      <w:r>
        <w:br w:type="page"/>
      </w:r>
    </w:p>
    <w:p>
      <w:pPr>
        <w:spacing w:after="40"/>
        <w:jc w:val="center"/>
      </w:pPr>
      <w:r>
        <w:drawing>
          <wp:inline distT="0" distB="0" distL="0" distR="0">
            <wp:extent cx="5048250" cy="7658100"/>
            <wp:effectExtent t="0" r="0" b="0" l="0"/>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048250" cy="7658100"/>
                    </a:xfrm>
                    <a:prstGeom prst="rect">
                      <a:avLst/>
                    </a:prstGeom>
                  </pic:spPr>
                </pic:pic>
              </a:graphicData>
            </a:graphic>
          </wp:inline>
        </w:drawing>
      </w:r>
    </w:p>
    <w:p>
      <w:pPr>
        <w:spacing w:after="120" w:before="40"/>
        <w:jc w:val="center"/>
      </w:pPr>
      <w:r>
        <w:rPr>
          <w:rFonts w:ascii="Calibri" w:cs="Calibri" w:eastAsia="Calibri" w:hAnsi="Calibri"/>
          <w:i/>
          <w:iCs/>
          <w:color w:val="595959"/>
          <w:sz w:val="18"/>
          <w:szCs w:val="18"/>
        </w:rPr>
        <w:t xml:space="preserve">Computation of Total Income – AY 2026–27</w:t>
      </w:r>
    </w:p>
    <w:p>
      <w:r>
        <w:br w:type="page"/>
      </w:r>
    </w:p>
    <w:p>
      <w:pPr>
        <w:spacing w:after="40"/>
        <w:jc w:val="center"/>
      </w:pPr>
      <w:r>
        <w:drawing>
          <wp:inline distT="0" distB="0" distL="0" distR="0">
            <wp:extent cx="5048250" cy="7639050"/>
            <wp:effectExtent t="0" r="0" b="0" l="0"/>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048250" cy="7639050"/>
                    </a:xfrm>
                    <a:prstGeom prst="rect">
                      <a:avLst/>
                    </a:prstGeom>
                  </pic:spPr>
                </pic:pic>
              </a:graphicData>
            </a:graphic>
          </wp:inline>
        </w:drawing>
      </w:r>
    </w:p>
    <w:p>
      <w:pPr>
        <w:spacing w:after="120" w:before="40"/>
        <w:jc w:val="center"/>
      </w:pPr>
      <w:r>
        <w:rPr>
          <w:rFonts w:ascii="Calibri" w:cs="Calibri" w:eastAsia="Calibri" w:hAnsi="Calibri"/>
          <w:i/>
          <w:iCs/>
          <w:color w:val="595959"/>
          <w:sz w:val="18"/>
          <w:szCs w:val="18"/>
        </w:rPr>
        <w:t xml:space="preserve">Receipts &amp; Payments Account 2025–26</w:t>
      </w:r>
    </w:p>
    <w:p>
      <w:r>
        <w:br w:type="page"/>
      </w:r>
    </w:p>
    <w:p>
      <w:pPr>
        <w:spacing w:after="40"/>
        <w:jc w:val="center"/>
      </w:pPr>
      <w:r>
        <w:drawing>
          <wp:inline distT="0" distB="0" distL="0" distR="0">
            <wp:extent cx="5048250" cy="7391400"/>
            <wp:effectExtent t="0" r="0" b="0" l="0"/>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048250" cy="7391400"/>
                    </a:xfrm>
                    <a:prstGeom prst="rect">
                      <a:avLst/>
                    </a:prstGeom>
                  </pic:spPr>
                </pic:pic>
              </a:graphicData>
            </a:graphic>
          </wp:inline>
        </w:drawing>
      </w:r>
    </w:p>
    <w:p>
      <w:pPr>
        <w:spacing w:after="120" w:before="40"/>
        <w:jc w:val="center"/>
      </w:pPr>
      <w:r>
        <w:rPr>
          <w:rFonts w:ascii="Calibri" w:cs="Calibri" w:eastAsia="Calibri" w:hAnsi="Calibri"/>
          <w:i/>
          <w:iCs/>
          <w:color w:val="595959"/>
          <w:sz w:val="18"/>
          <w:szCs w:val="18"/>
        </w:rPr>
        <w:t xml:space="preserve">Income &amp; Expenditure Account 2025–26</w:t>
      </w:r>
    </w:p>
    <w:p>
      <w:r>
        <w:br w:type="page"/>
      </w:r>
    </w:p>
    <w:p>
      <w:pPr>
        <w:spacing w:after="40"/>
        <w:jc w:val="center"/>
      </w:pPr>
      <w:r>
        <w:drawing>
          <wp:inline distT="0" distB="0" distL="0" distR="0">
            <wp:extent cx="5048250" cy="7391400"/>
            <wp:effectExtent t="0" r="0" b="0" l="0"/>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048250" cy="7391400"/>
                    </a:xfrm>
                    <a:prstGeom prst="rect">
                      <a:avLst/>
                    </a:prstGeom>
                  </pic:spPr>
                </pic:pic>
              </a:graphicData>
            </a:graphic>
          </wp:inline>
        </w:drawing>
      </w:r>
    </w:p>
    <w:p>
      <w:pPr>
        <w:spacing w:after="120" w:before="40"/>
        <w:jc w:val="center"/>
      </w:pPr>
      <w:r>
        <w:rPr>
          <w:rFonts w:ascii="Calibri" w:cs="Calibri" w:eastAsia="Calibri" w:hAnsi="Calibri"/>
          <w:i/>
          <w:iCs/>
          <w:color w:val="595959"/>
          <w:sz w:val="18"/>
          <w:szCs w:val="18"/>
        </w:rPr>
        <w:t xml:space="preserve">Balance Sheet as on 31.03.2026</w:t>
      </w:r>
    </w:p>
    <w:p>
      <w:r>
        <w:br w:type="page"/>
      </w:r>
    </w:p>
    <w:p>
      <w:pPr>
        <w:spacing w:after="40"/>
        <w:jc w:val="center"/>
      </w:pPr>
      <w:r>
        <w:drawing>
          <wp:inline distT="0" distB="0" distL="0" distR="0">
            <wp:extent cx="5048250" cy="6943725"/>
            <wp:effectExtent t="0" r="0" b="0" l="0"/>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048250" cy="6943725"/>
                    </a:xfrm>
                    <a:prstGeom prst="rect">
                      <a:avLst/>
                    </a:prstGeom>
                  </pic:spPr>
                </pic:pic>
              </a:graphicData>
            </a:graphic>
          </wp:inline>
        </w:drawing>
      </w:r>
    </w:p>
    <w:p>
      <w:pPr>
        <w:spacing w:after="120" w:before="40"/>
        <w:jc w:val="center"/>
      </w:pPr>
      <w:r>
        <w:rPr>
          <w:rFonts w:ascii="Calibri" w:cs="Calibri" w:eastAsia="Calibri" w:hAnsi="Calibri"/>
          <w:i/>
          <w:iCs/>
          <w:color w:val="595959"/>
          <w:sz w:val="18"/>
          <w:szCs w:val="18"/>
        </w:rPr>
        <w:t xml:space="preserve">APF Project – Receipts &amp; Payments Account</w:t>
      </w:r>
    </w:p>
    <w:p>
      <w:r>
        <w:br w:type="page"/>
      </w:r>
    </w:p>
    <w:p>
      <w:pPr>
        <w:spacing w:after="40"/>
        <w:jc w:val="center"/>
      </w:pPr>
      <w:r>
        <w:drawing>
          <wp:inline distT="0" distB="0" distL="0" distR="0">
            <wp:extent cx="5048250" cy="7762875"/>
            <wp:effectExtent t="0" r="0" b="0" l="0"/>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048250" cy="7762875"/>
                    </a:xfrm>
                    <a:prstGeom prst="rect">
                      <a:avLst/>
                    </a:prstGeom>
                  </pic:spPr>
                </pic:pic>
              </a:graphicData>
            </a:graphic>
          </wp:inline>
        </w:drawing>
      </w:r>
    </w:p>
    <w:p>
      <w:pPr>
        <w:spacing w:after="120" w:before="40"/>
        <w:jc w:val="center"/>
      </w:pPr>
      <w:r>
        <w:rPr>
          <w:rFonts w:ascii="Calibri" w:cs="Calibri" w:eastAsia="Calibri" w:hAnsi="Calibri"/>
          <w:i/>
          <w:iCs/>
          <w:color w:val="595959"/>
          <w:sz w:val="18"/>
          <w:szCs w:val="18"/>
        </w:rPr>
        <w:t xml:space="preserve">APF Project – Income &amp; Expenditure Account</w:t>
      </w:r>
    </w:p>
    <w:p>
      <w:r>
        <w:br w:type="page"/>
      </w:r>
    </w:p>
    <w:p>
      <w:pPr>
        <w:spacing w:after="40"/>
        <w:jc w:val="center"/>
      </w:pPr>
      <w:r>
        <w:drawing>
          <wp:inline distT="0" distB="0" distL="0" distR="0">
            <wp:extent cx="5048250" cy="7362825"/>
            <wp:effectExtent t="0" r="0" b="0" l="0"/>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048250" cy="7362825"/>
                    </a:xfrm>
                    <a:prstGeom prst="rect">
                      <a:avLst/>
                    </a:prstGeom>
                  </pic:spPr>
                </pic:pic>
              </a:graphicData>
            </a:graphic>
          </wp:inline>
        </w:drawing>
      </w:r>
    </w:p>
    <w:p>
      <w:pPr>
        <w:spacing w:after="120" w:before="40"/>
        <w:jc w:val="center"/>
      </w:pPr>
      <w:r>
        <w:rPr>
          <w:rFonts w:ascii="Calibri" w:cs="Calibri" w:eastAsia="Calibri" w:hAnsi="Calibri"/>
          <w:i/>
          <w:iCs/>
          <w:color w:val="595959"/>
          <w:sz w:val="18"/>
          <w:szCs w:val="18"/>
        </w:rPr>
        <w:t xml:space="preserve">APF Project – Balance Sheet</w:t>
      </w:r>
    </w:p>
    <w:sectPr>
      <w:headerReference w:type="default" r:id="rId8"/>
      <w:footerReference w:type="default" r:id="rId9"/>
      <w:pgSz w:w="11906" w:h="16838" w:orient="portrait"/>
      <w:pgMar w:top="1134" w:right="1134" w:bottom="1134" w:left="1134" w:header="600" w:footer="500" w:gutter="0"/>
      <w:pgBorders w:offsetFrom="text">
        <w:top w:val="single" w:color="1E6B3A" w:sz="12" w:space="24"/>
        <w:left w:val="single" w:color="1E6B3A" w:sz="12" w:space="24"/>
        <w:bottom w:val="single" w:color="1E6B3A" w:sz="12" w:space="24"/>
        <w:right w:val="single" w:color="1E6B3A" w:sz="12" w:space="24"/>
      </w:pgBorders>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95959"/>
        <w:sz w:val="18"/>
        <w:szCs w:val="18"/>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BFBF" w:sz="4" w:space="4"/>
      </w:pBdr>
      <w:tabs>
        <w:tab w:val="right" w:pos="9638"/>
      </w:tabs>
    </w:pPr>
    <w:r>
      <w:rPr>
        <w:rFonts w:ascii="Calibri" w:cs="Calibri" w:eastAsia="Calibri" w:hAnsi="Calibri"/>
        <w:b/>
        <w:bCs/>
        <w:color w:val="1E6B3A"/>
        <w:sz w:val="17"/>
        <w:szCs w:val="17"/>
      </w:rPr>
      <w:t xml:space="preserve">Vanasamakhya</w:t>
    </w:r>
    <w:r>
      <w:rPr>
        <w:rFonts w:ascii="Calibri" w:cs="Calibri" w:eastAsia="Calibri" w:hAnsi="Calibri"/>
        <w:color w:val="595959"/>
        <w:sz w:val="17"/>
        <w:szCs w:val="17"/>
      </w:rPr>
      <w:t xml:space="preserve">	Annual Report 2025–26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BFBF" w:sz="4" w:space="4"/>
      </w:pBdr>
      <w:tabs>
        <w:tab w:val="right" w:pos="9638"/>
      </w:tabs>
    </w:pPr>
    <w:r>
      <w:rPr>
        <w:rFonts w:ascii="Calibri" w:cs="Calibri" w:eastAsia="Calibri" w:hAnsi="Calibri"/>
        <w:b/>
        <w:bCs/>
        <w:color w:val="1E6B3A"/>
        <w:sz w:val="17"/>
        <w:szCs w:val="17"/>
      </w:rPr>
      <w:t xml:space="preserve">Vanasamakhya</w:t>
    </w:r>
    <w:r>
      <w:rPr>
        <w:rFonts w:ascii="Calibri" w:cs="Calibri" w:eastAsia="Calibri" w:hAnsi="Calibri"/>
        <w:color w:val="595959"/>
        <w:sz w:val="17"/>
        <w:szCs w:val="17"/>
      </w:rPr>
      <w:t xml:space="preserve">	Annual Report 2025–26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rPr>
        <w:color w:val="1E6B3A"/>
      </w:rPr>
    </w:lvl>
    <w:lvl w:ilvl="1" w:tentative="1">
      <w:start w:val="1"/>
      <w:numFmt w:val="bullet"/>
      <w:lvlText w:val="–"/>
      <w:lvlJc w:val="left"/>
      <w:pPr>
        <w:ind w:left="10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1E6B3A" w:sz="6" w:space="4"/>
      </w:pBdr>
      <w:spacing w:after="140" w:before="300"/>
      <w:outlineLvl w:val="0"/>
    </w:pPr>
    <w:rPr>
      <w:rFonts w:ascii="Calibri" w:cs="Calibri" w:eastAsia="Calibri" w:hAnsi="Calibri"/>
      <w:b/>
      <w:bCs/>
      <w:color w:val="1E6B3A"/>
      <w:sz w:val="30"/>
      <w:szCs w:val="30"/>
    </w:rPr>
  </w:style>
  <w:style w:type="paragraph" w:styleId="Heading2">
    <w:name w:val="Heading 2"/>
    <w:basedOn w:val="Normal"/>
    <w:next w:val="Normal"/>
    <w:qFormat/>
    <w:pPr>
      <w:spacing w:after="100" w:before="240"/>
      <w:outlineLvl w:val="1"/>
    </w:pPr>
    <w:rPr>
      <w:rFonts w:ascii="Calibri" w:cs="Calibri" w:eastAsia="Calibri" w:hAnsi="Calibri"/>
      <w:b/>
      <w:bCs/>
      <w:color w:val="7A2E2E"/>
      <w:sz w:val="25"/>
      <w:szCs w:val="25"/>
    </w:rPr>
  </w:style>
  <w:style w:type="paragraph" w:styleId="Heading3">
    <w:name w:val="Heading 3"/>
    <w:basedOn w:val="Normal"/>
    <w:next w:val="Normal"/>
    <w:qFormat/>
    <w:pPr>
      <w:spacing w:after="80" w:before="180"/>
      <w:outlineLvl w:val="2"/>
    </w:pPr>
    <w:rPr>
      <w:rFonts w:ascii="Calibri" w:cs="Calibri" w:eastAsia="Calibri" w:hAnsi="Calibri"/>
      <w:b/>
      <w:bCs/>
      <w:color w:val="14502A"/>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image" Target="media/4ae7ce1a79f3f48fa103e2405a07d005148f288a.jpg"/><Relationship Id="rId12" Type="http://schemas.openxmlformats.org/officeDocument/2006/relationships/image" Target="media/69d88d7dab5feccf6ff6f16b0906e571a9c15ff8.png"/><Relationship Id="rId13" Type="http://schemas.openxmlformats.org/officeDocument/2006/relationships/image" Target="media/d72734d9417c2c264565c0333e0bc870002ccded.jpg"/><Relationship Id="rId14" Type="http://schemas.openxmlformats.org/officeDocument/2006/relationships/image" Target="media/00e667777af4bb6932aabc16fa02ea5cb8635495.jpg"/><Relationship Id="rId15" Type="http://schemas.openxmlformats.org/officeDocument/2006/relationships/image" Target="media/27e54ddc8391750390acd63c35060a77465c3b34.jpg"/><Relationship Id="rId16" Type="http://schemas.openxmlformats.org/officeDocument/2006/relationships/image" Target="media/9a468db442bd5d430d081e271170838f8585384a.jpg"/><Relationship Id="rId17" Type="http://schemas.openxmlformats.org/officeDocument/2006/relationships/image" Target="media/eab531c3fe339aca4b7a3f7c83616c1428e23cb3.jpg"/><Relationship Id="rId18" Type="http://schemas.openxmlformats.org/officeDocument/2006/relationships/image" Target="media/4008b57085b3b549209eaaec6a2ec9c55ee186cc.jpg"/><Relationship Id="rId19" Type="http://schemas.openxmlformats.org/officeDocument/2006/relationships/image" Target="media/04f7896afc13268fec61450e6d0b8b5d634132e9.png"/><Relationship Id="rId20" Type="http://schemas.openxmlformats.org/officeDocument/2006/relationships/image" Target="media/da7374b6fc128bca9478f4f4e759a989786ba527.jpg"/><Relationship Id="rId21" Type="http://schemas.openxmlformats.org/officeDocument/2006/relationships/image" Target="media/afe9ce87d157be39c36eb5ebbed6f24b0c517872.jpg"/><Relationship Id="rId22" Type="http://schemas.openxmlformats.org/officeDocument/2006/relationships/image" Target="media/4be972badf30e1cfb095290c248b924feace34b2.jpg"/><Relationship Id="rId23" Type="http://schemas.openxmlformats.org/officeDocument/2006/relationships/image" Target="media/205215d5db833dbea6530633d414caf75cb5b868.jpg"/><Relationship Id="rId24" Type="http://schemas.openxmlformats.org/officeDocument/2006/relationships/image" Target="media/9d6ff760ecf59fbfa37a6bbe00c8603d307f0a37.jpg"/><Relationship Id="rId25" Type="http://schemas.openxmlformats.org/officeDocument/2006/relationships/image" Target="media/b5327545d54d99fcddbf6a6f2fc7752f36153b9f.jpg"/><Relationship Id="rId26" Type="http://schemas.openxmlformats.org/officeDocument/2006/relationships/image" Target="media/47ca97f9b2a76092d7307f741fc7d4b9748c52c4.jpg"/><Relationship Id="rId27" Type="http://schemas.openxmlformats.org/officeDocument/2006/relationships/image" Target="media/4a2966ab37efe56550178ed6baed243de8fccd8f.jpg"/><Relationship Id="rId28" Type="http://schemas.openxmlformats.org/officeDocument/2006/relationships/image" Target="media/7d58daffd7cd84c54b61123f97096fe9746e7204.jp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Vanasamakhya Annual Report 2025-26</dc:title>
  <dc:creator>Vanasamakhya</dc:creator>
  <cp:lastModifiedBy>Un-named</cp:lastModifiedBy>
  <cp:revision>1</cp:revision>
  <dcterms:created xsi:type="dcterms:W3CDTF">2026-10-27T02:12:28.605Z</dcterms:created>
  <dcterms:modified xsi:type="dcterms:W3CDTF">2026-10-27T02:12:28.605Z</dcterms:modified>
</cp:coreProperties>
</file>

<file path=docProps/custom.xml><?xml version="1.0" encoding="utf-8"?>
<Properties xmlns="http://schemas.openxmlformats.org/officeDocument/2006/custom-properties" xmlns:vt="http://schemas.openxmlformats.org/officeDocument/2006/docPropsVTypes"/>
</file>